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0071" w14:textId="77777777" w:rsidR="00123AF5" w:rsidRDefault="00123AF5" w:rsidP="00123AF5">
      <w:pPr>
        <w:pStyle w:val="Title"/>
        <w:rPr>
          <w:b/>
          <w:bCs/>
        </w:rPr>
      </w:pPr>
      <w:r w:rsidRPr="00675417">
        <w:rPr>
          <w:bCs/>
        </w:rPr>
        <w:t xml:space="preserve">Vertiv™ </w:t>
      </w:r>
      <w:proofErr w:type="spellStart"/>
      <w:r w:rsidRPr="00675417">
        <w:rPr>
          <w:bCs/>
        </w:rPr>
        <w:t>Powerbar</w:t>
      </w:r>
      <w:proofErr w:type="spellEnd"/>
      <w:r w:rsidRPr="00675417">
        <w:rPr>
          <w:bCs/>
        </w:rPr>
        <w:t xml:space="preserve"> </w:t>
      </w:r>
      <w:proofErr w:type="spellStart"/>
      <w:r w:rsidRPr="00675417">
        <w:rPr>
          <w:bCs/>
        </w:rPr>
        <w:t>iMPB</w:t>
      </w:r>
      <w:proofErr w:type="spellEnd"/>
    </w:p>
    <w:p w14:paraId="0471BD81" w14:textId="77777777" w:rsidR="00123AF5" w:rsidRPr="00675417" w:rsidRDefault="00123AF5" w:rsidP="00123AF5">
      <w:pPr>
        <w:pStyle w:val="Title"/>
      </w:pPr>
      <w:r>
        <w:t>Guide Specifications</w:t>
      </w:r>
    </w:p>
    <w:p w14:paraId="2CA7434B" w14:textId="4B1298E8" w:rsidR="008A3CCF" w:rsidRDefault="008A3CCF" w:rsidP="008A3CCF">
      <w:pPr>
        <w:pStyle w:val="Heading1"/>
      </w:pPr>
      <w:r>
        <w:t>General</w:t>
      </w:r>
    </w:p>
    <w:p w14:paraId="7DB319B0" w14:textId="637A0ED3" w:rsidR="008007AE" w:rsidRDefault="008007AE" w:rsidP="008007AE">
      <w:pPr>
        <w:pStyle w:val="Heading2"/>
      </w:pPr>
      <w:r>
        <w:t>Related Documents</w:t>
      </w:r>
    </w:p>
    <w:p w14:paraId="2380E4F5" w14:textId="561B85CC" w:rsidR="008007AE" w:rsidRDefault="008007AE" w:rsidP="008007AE">
      <w:pPr>
        <w:pStyle w:val="ListBullet1"/>
      </w:pPr>
      <w:r>
        <w:t>Drawings and general provisions of the Contract, including General and Supplementary Conditions and Division [XX] Specification Sections, apply to this Section.</w:t>
      </w:r>
    </w:p>
    <w:p w14:paraId="7AA87490" w14:textId="382DD461" w:rsidR="008007AE" w:rsidRDefault="008007AE" w:rsidP="008007AE">
      <w:pPr>
        <w:pStyle w:val="Heading2"/>
      </w:pPr>
      <w:r w:rsidRPr="008007AE">
        <w:t>Summary</w:t>
      </w:r>
    </w:p>
    <w:p w14:paraId="0771B7DD" w14:textId="54427CC9" w:rsidR="008007AE" w:rsidRDefault="008007AE" w:rsidP="008007AE">
      <w:pPr>
        <w:pStyle w:val="ListBullet1"/>
      </w:pPr>
      <w:r>
        <w:t xml:space="preserve">This specification covers the electrical characteristics and general requirements for a continuous open channel, low voltage busbar/busway system. </w:t>
      </w:r>
    </w:p>
    <w:p w14:paraId="30A75441" w14:textId="02D32310" w:rsidR="008007AE" w:rsidRDefault="008007AE" w:rsidP="008007AE">
      <w:pPr>
        <w:pStyle w:val="ListBullet1"/>
      </w:pPr>
      <w:r>
        <w:t>The system shall be designed primarily for overhead power distribution of electrical power.</w:t>
      </w:r>
    </w:p>
    <w:p w14:paraId="1E581995" w14:textId="6F892337" w:rsidR="008007AE" w:rsidRDefault="008007AE" w:rsidP="008007AE">
      <w:pPr>
        <w:pStyle w:val="ListBullet1"/>
      </w:pPr>
      <w:r>
        <w:t>System shall be designed to be installed at critical distribution points to power specific loads, servers, and workstations.</w:t>
      </w:r>
    </w:p>
    <w:p w14:paraId="34DA260C" w14:textId="3508A6EE" w:rsidR="008007AE" w:rsidRDefault="008007AE" w:rsidP="008007AE">
      <w:pPr>
        <w:pStyle w:val="ListBullet1"/>
      </w:pPr>
      <w:r>
        <w:t>Loads fed from plug-in/tap off boxes, shall be added or removed without shutting down the busbar.</w:t>
      </w:r>
    </w:p>
    <w:p w14:paraId="2FF267B0" w14:textId="738CE86B" w:rsidR="008007AE" w:rsidRDefault="008007AE" w:rsidP="008007AE">
      <w:pPr>
        <w:pStyle w:val="ListBullet1"/>
      </w:pPr>
      <w:r>
        <w:t>The busbar should be compulsorily hot swappable and compulsorily should be an open channel busbar system which is continuous access and allows plug-in units/tap off boxes to be inserted and removed anywhere along its length.</w:t>
      </w:r>
    </w:p>
    <w:p w14:paraId="5139541F" w14:textId="032A3B4C" w:rsidR="008007AE" w:rsidRDefault="008007AE" w:rsidP="001C5AC7">
      <w:pPr>
        <w:pStyle w:val="ListBullet1"/>
      </w:pPr>
      <w:r>
        <w:t>Once installed, the completed system will provide a manageable, economical means for power distribution and communications</w:t>
      </w:r>
      <w:r w:rsidR="001C5AC7">
        <w:t>.</w:t>
      </w:r>
    </w:p>
    <w:p w14:paraId="06319440" w14:textId="19D813B0" w:rsidR="001C5AC7" w:rsidRDefault="00FD4179" w:rsidP="00FD4179">
      <w:pPr>
        <w:pStyle w:val="Heading2"/>
      </w:pPr>
      <w:r w:rsidRPr="00FD4179">
        <w:t>Standards</w:t>
      </w:r>
    </w:p>
    <w:p w14:paraId="397B6942" w14:textId="5F1FDADE" w:rsidR="00FD4179" w:rsidRDefault="00FD4179" w:rsidP="00FD4179">
      <w:pPr>
        <w:pStyle w:val="ListBullet1"/>
      </w:pPr>
      <w:r>
        <w:t>Underwriters Laboratory Standard, UL 857 – The common UL, CSA, and ANCE Standard for Busbars that is derived from the fifth edition of CSA Standard C22.2 No. 27, the twelfth edition of UL 857, and the second edition of NMX-J-148-1998-ANCE.</w:t>
      </w:r>
    </w:p>
    <w:p w14:paraId="4E81D75A" w14:textId="7E247E07" w:rsidR="00FD4179" w:rsidRDefault="00FD4179" w:rsidP="00FD4179">
      <w:pPr>
        <w:pStyle w:val="ListBullet1"/>
      </w:pPr>
      <w:r>
        <w:t>CUL Listing</w:t>
      </w:r>
    </w:p>
    <w:p w14:paraId="662F7162" w14:textId="7F3E6ACB" w:rsidR="00FD4179" w:rsidRDefault="00FD4179" w:rsidP="00FD4179">
      <w:pPr>
        <w:pStyle w:val="ListBullet1"/>
      </w:pPr>
      <w:r>
        <w:t>National Electric Code (NEC) – Article 364 – Busbar</w:t>
      </w:r>
    </w:p>
    <w:p w14:paraId="11781863" w14:textId="7674E946" w:rsidR="00FD4179" w:rsidRDefault="00FD4179" w:rsidP="00FD4179">
      <w:pPr>
        <w:pStyle w:val="ListBullet1"/>
      </w:pPr>
      <w:r>
        <w:t>NFPA 70 – National Fire Protection Agency</w:t>
      </w:r>
    </w:p>
    <w:p w14:paraId="7E261FB5" w14:textId="36C9A1A9" w:rsidR="00FD4179" w:rsidRDefault="00FD4179" w:rsidP="00FD4179">
      <w:pPr>
        <w:pStyle w:val="Heading2"/>
      </w:pPr>
      <w:r>
        <w:t>S</w:t>
      </w:r>
      <w:r w:rsidRPr="00FD4179">
        <w:t>ystem Description</w:t>
      </w:r>
    </w:p>
    <w:p w14:paraId="704B9E8B" w14:textId="5072F2D5" w:rsidR="00FD4179" w:rsidRDefault="00FD4179" w:rsidP="00FD4179">
      <w:pPr>
        <w:pStyle w:val="Heading3"/>
      </w:pPr>
      <w:r w:rsidRPr="00FD4179">
        <w:t>Environmental Conditions</w:t>
      </w:r>
    </w:p>
    <w:p w14:paraId="7BD7BED7" w14:textId="0ADD3253" w:rsidR="00E459B0" w:rsidRDefault="00E459B0" w:rsidP="00E459B0">
      <w:pPr>
        <w:pStyle w:val="ListBullet1"/>
      </w:pPr>
      <w:r>
        <w:t>The busbar/busway shall be capable of operating continuously in the following environmental conditions without mechanical or electrical damage, degradation, or derating of operating capability:</w:t>
      </w:r>
    </w:p>
    <w:p w14:paraId="1EC12E6D" w14:textId="6AEB72BB" w:rsidR="00E459B0" w:rsidRDefault="00E459B0" w:rsidP="00E459B0">
      <w:pPr>
        <w:pStyle w:val="ListBullet2"/>
        <w:pageBreakBefore/>
      </w:pPr>
      <w:r>
        <w:lastRenderedPageBreak/>
        <w:t xml:space="preserve">Ambient Temperature for </w:t>
      </w:r>
      <w:r w:rsidR="00DC47E4">
        <w:t>electronic components</w:t>
      </w:r>
      <w:r>
        <w:t>: 32 to 104°F (0 to 40°C)</w:t>
      </w:r>
    </w:p>
    <w:p w14:paraId="741EC9DC" w14:textId="5F96D1EB" w:rsidR="00E459B0" w:rsidRDefault="00E459B0" w:rsidP="00E459B0">
      <w:pPr>
        <w:pStyle w:val="ListBullet2"/>
      </w:pPr>
      <w:r>
        <w:t xml:space="preserve">Relative </w:t>
      </w:r>
      <w:r w:rsidR="00DC47E4">
        <w:t>humidity</w:t>
      </w:r>
      <w:r>
        <w:t>: 0 to 95 percent, noncondensing</w:t>
      </w:r>
    </w:p>
    <w:p w14:paraId="64DABFA0" w14:textId="6EEDC844" w:rsidR="00FD4179" w:rsidRDefault="00E459B0" w:rsidP="00E459B0">
      <w:pPr>
        <w:pStyle w:val="ListBullet2"/>
        <w:spacing w:after="240"/>
      </w:pPr>
      <w:r>
        <w:t>Altitude: Sea Level to 4000 feet (1220m)</w:t>
      </w:r>
    </w:p>
    <w:p w14:paraId="3328D2C3" w14:textId="2DA045AB" w:rsidR="00E459B0" w:rsidRDefault="00E459B0" w:rsidP="00E459B0">
      <w:pPr>
        <w:pStyle w:val="Heading3"/>
      </w:pPr>
      <w:r w:rsidRPr="00E459B0">
        <w:t>Electrical Specification/Performance Requirements</w:t>
      </w:r>
    </w:p>
    <w:p w14:paraId="6FEF8663" w14:textId="670BF9C3" w:rsidR="00E459B0" w:rsidRDefault="00E459B0" w:rsidP="00E459B0">
      <w:pPr>
        <w:pStyle w:val="ListBullet1"/>
      </w:pPr>
      <w:r>
        <w:t>The busbar/busway system shall perform as specified in this specification while supplying rated full-load current as shown on the project drawings.</w:t>
      </w:r>
    </w:p>
    <w:p w14:paraId="46AAB18C" w14:textId="432258A9" w:rsidR="00E459B0" w:rsidRDefault="00E459B0" w:rsidP="00E459B0">
      <w:pPr>
        <w:pStyle w:val="ListBullet1"/>
      </w:pPr>
      <w:r>
        <w:t>The busbar/busway system shall be available in the following current ratings:</w:t>
      </w:r>
    </w:p>
    <w:p w14:paraId="1D6A19D5" w14:textId="7FF59AF2" w:rsidR="00E459B0" w:rsidRDefault="00387BD2" w:rsidP="00E459B0">
      <w:pPr>
        <w:pStyle w:val="ListBullet2"/>
        <w:spacing w:after="240"/>
      </w:pPr>
      <w:r>
        <w:t>UL –</w:t>
      </w:r>
      <w:r w:rsidR="00E459B0">
        <w:t xml:space="preserve"> 160A / 250A / 400A / 600A / 800A </w:t>
      </w:r>
    </w:p>
    <w:p w14:paraId="31B5BAE6" w14:textId="1AC7DC05" w:rsidR="00E459B0" w:rsidRDefault="00E459B0" w:rsidP="00E459B0">
      <w:pPr>
        <w:pStyle w:val="ListBullet1"/>
      </w:pPr>
      <w:r>
        <w:t xml:space="preserve">System </w:t>
      </w:r>
      <w:r w:rsidR="00163056">
        <w:t>volt</w:t>
      </w:r>
      <w:r>
        <w:t>age: Busbar/</w:t>
      </w:r>
      <w:r w:rsidR="00163056">
        <w:t>b</w:t>
      </w:r>
      <w:r>
        <w:t xml:space="preserve">usway shall be rated to 600V </w:t>
      </w:r>
    </w:p>
    <w:p w14:paraId="23CFD6CF" w14:textId="27788581" w:rsidR="00E459B0" w:rsidRDefault="00E459B0" w:rsidP="00E459B0">
      <w:pPr>
        <w:pStyle w:val="ListBullet1"/>
      </w:pPr>
      <w:r>
        <w:t xml:space="preserve">Insulation </w:t>
      </w:r>
      <w:r w:rsidR="00163056">
        <w:t>voltage</w:t>
      </w:r>
      <w:r>
        <w:t>: 1000V</w:t>
      </w:r>
    </w:p>
    <w:p w14:paraId="77708116" w14:textId="3A33FD29" w:rsidR="00E459B0" w:rsidRDefault="00E459B0" w:rsidP="00E459B0">
      <w:pPr>
        <w:pStyle w:val="ListBullet1"/>
      </w:pPr>
      <w:r>
        <w:t>Frequency: Available in 60Hz</w:t>
      </w:r>
    </w:p>
    <w:p w14:paraId="32152A8B" w14:textId="6DA0D1EA" w:rsidR="00E459B0" w:rsidRDefault="00E459B0" w:rsidP="00E459B0">
      <w:pPr>
        <w:pStyle w:val="ListBullet1"/>
      </w:pPr>
      <w:r>
        <w:t xml:space="preserve">Short </w:t>
      </w:r>
      <w:r w:rsidR="00163056">
        <w:t>circuit rating</w:t>
      </w:r>
      <w:r>
        <w:t>: Minimum of 50KAIC.</w:t>
      </w:r>
    </w:p>
    <w:p w14:paraId="789D8B8E" w14:textId="355012BE" w:rsidR="00E459B0" w:rsidRDefault="00166338" w:rsidP="00166338">
      <w:pPr>
        <w:pStyle w:val="Heading2"/>
      </w:pPr>
      <w:r w:rsidRPr="00166338">
        <w:t>Seismic Qualification Certification</w:t>
      </w:r>
    </w:p>
    <w:p w14:paraId="28A5CE0F" w14:textId="70641CD4" w:rsidR="00A73C33" w:rsidRDefault="00A73C33" w:rsidP="00A73C33">
      <w:pPr>
        <w:pStyle w:val="ListBullet1"/>
      </w:pPr>
      <w:r>
        <w:t>Submit certification that busbar, accessories, and components will withstand seismic forces to include the following:</w:t>
      </w:r>
    </w:p>
    <w:p w14:paraId="7BDEE3F9" w14:textId="27B7E74E" w:rsidR="00A73C33" w:rsidRDefault="00A73C33" w:rsidP="00A73C33">
      <w:pPr>
        <w:pStyle w:val="ListBullet2"/>
      </w:pPr>
      <w:r>
        <w:t>Basis of certification: Indicate whether withstand certification is based on actual test of assembled components or on calculation.</w:t>
      </w:r>
    </w:p>
    <w:p w14:paraId="30DCAF16" w14:textId="546B96D6" w:rsidR="00A73C33" w:rsidRDefault="00A73C33" w:rsidP="00A73C33">
      <w:pPr>
        <w:pStyle w:val="ListBullet2"/>
      </w:pPr>
      <w:r>
        <w:t>The term “withstand” means “the units will remain in place without separation of any parts from the device when subjected to the seismic forces specified.”</w:t>
      </w:r>
    </w:p>
    <w:p w14:paraId="1D359A90" w14:textId="611662CF" w:rsidR="00A73C33" w:rsidRDefault="00A73C33" w:rsidP="00A73C33">
      <w:pPr>
        <w:pStyle w:val="ListBullet2"/>
      </w:pPr>
      <w:r>
        <w:t>Dimensioned outline drawings of equipment unit: Identify center of gravity and locate and describe mounting and anchorage provisions.</w:t>
      </w:r>
    </w:p>
    <w:p w14:paraId="5BEBCC87" w14:textId="32D9864D" w:rsidR="00A73C33" w:rsidRDefault="00A73C33" w:rsidP="00A73C33">
      <w:pPr>
        <w:pStyle w:val="ListBullet2"/>
        <w:spacing w:after="240"/>
      </w:pPr>
      <w:r>
        <w:t>Detailed description of equipment anchorage devices on which the certification is based and the installation requirements.</w:t>
      </w:r>
    </w:p>
    <w:p w14:paraId="5E020F6A" w14:textId="1561BDE7" w:rsidR="00A73C33" w:rsidRDefault="00A73C33" w:rsidP="00A73C33">
      <w:pPr>
        <w:pStyle w:val="Heading2"/>
      </w:pPr>
      <w:r w:rsidRPr="00A73C33">
        <w:t>Documentation/Action Submittals</w:t>
      </w:r>
    </w:p>
    <w:p w14:paraId="61BEFF1D" w14:textId="6E7A1EE5" w:rsidR="00A73C33" w:rsidRDefault="00A73C33" w:rsidP="00A73C33">
      <w:pPr>
        <w:pStyle w:val="Heading3"/>
      </w:pPr>
      <w:r w:rsidRPr="00A73C33">
        <w:t>Submittals/Drawings</w:t>
      </w:r>
    </w:p>
    <w:p w14:paraId="29450E90" w14:textId="668E16CE" w:rsidR="00A73C33" w:rsidRDefault="00A73C33" w:rsidP="00A73C33">
      <w:pPr>
        <w:pStyle w:val="ListBullet1"/>
      </w:pPr>
      <w:r>
        <w:t>Submittal/shop drawings shall be furnished for busway and tap off units.</w:t>
      </w:r>
    </w:p>
    <w:p w14:paraId="5E00349F" w14:textId="2D100DC3" w:rsidR="00A73C33" w:rsidRDefault="00A73C33" w:rsidP="00A73C33">
      <w:pPr>
        <w:pStyle w:val="ListBullet1"/>
      </w:pPr>
      <w:r>
        <w:t>Product data: For each type of product indicated, include data features, components, ratings, and performance.</w:t>
      </w:r>
    </w:p>
    <w:p w14:paraId="5BECB1C1" w14:textId="674BD9F1" w:rsidR="00A73C33" w:rsidRDefault="00A73C33" w:rsidP="00A73C33">
      <w:pPr>
        <w:pStyle w:val="Heading3"/>
      </w:pPr>
      <w:r w:rsidRPr="00A73C33">
        <w:t>Installation and Operations</w:t>
      </w:r>
    </w:p>
    <w:p w14:paraId="7E7F75FC" w14:textId="0B8C2AEE" w:rsidR="00A73C33" w:rsidRDefault="00A73C33" w:rsidP="00A73C33">
      <w:pPr>
        <w:pStyle w:val="ListBullet1"/>
      </w:pPr>
      <w:r>
        <w:t>Installation manual shall be provided.</w:t>
      </w:r>
    </w:p>
    <w:p w14:paraId="63F4D7C7" w14:textId="461F34B6" w:rsidR="00A73C33" w:rsidRDefault="00A73C33" w:rsidP="00A73C33">
      <w:pPr>
        <w:pStyle w:val="ListBullet1"/>
      </w:pPr>
      <w:r>
        <w:t>Operation and maintenance data: For busbar/busway system, operation and maintenance manuals shall be provided.</w:t>
      </w:r>
    </w:p>
    <w:p w14:paraId="363609A7" w14:textId="4FA70499" w:rsidR="00A73C33" w:rsidRDefault="00A73C33" w:rsidP="00A73C33">
      <w:pPr>
        <w:pStyle w:val="Heading2"/>
      </w:pPr>
      <w:r w:rsidRPr="00A73C33">
        <w:lastRenderedPageBreak/>
        <w:t>Warranty</w:t>
      </w:r>
    </w:p>
    <w:p w14:paraId="00FD4871" w14:textId="6F32DC5D" w:rsidR="00A73C33" w:rsidRDefault="00A73C33" w:rsidP="00A73C33">
      <w:pPr>
        <w:pStyle w:val="ListBullet1"/>
      </w:pPr>
      <w:r>
        <w:t>The manufacturer shall guarantee the entire system against defective material and workmanship for a period of one year from date of shipment.</w:t>
      </w:r>
    </w:p>
    <w:p w14:paraId="5568361A" w14:textId="136EAD2B" w:rsidR="00A73C33" w:rsidRDefault="00A73C33" w:rsidP="00A73C33">
      <w:pPr>
        <w:pStyle w:val="ListBullet1"/>
      </w:pPr>
      <w:r>
        <w:t>Additional years or warranty shall be an option if required.</w:t>
      </w:r>
    </w:p>
    <w:p w14:paraId="17F60BD0" w14:textId="78767D67" w:rsidR="00A73C33" w:rsidRDefault="00A73C33" w:rsidP="00A73C33">
      <w:pPr>
        <w:pStyle w:val="Heading2"/>
      </w:pPr>
      <w:bookmarkStart w:id="0" w:name="_Toc93924256"/>
      <w:r w:rsidRPr="0003043B">
        <w:t>Quality Assurance</w:t>
      </w:r>
      <w:bookmarkEnd w:id="0"/>
    </w:p>
    <w:p w14:paraId="7652CA5E" w14:textId="2668ABCB" w:rsidR="00A73C33" w:rsidRDefault="00A73C33" w:rsidP="00A73C33">
      <w:pPr>
        <w:pStyle w:val="ListBullet1"/>
      </w:pPr>
      <w:r>
        <w:t>Testing agency qualifications: An independent agency, with the experience and capability to conduct the testing indicated, that is a member company of the International Electrical Testing Association or is a national recognized testing Laboratory as defined by OSHA in 29 CFR 1910.7 and that is acceptable to authorities having jurisdiction.</w:t>
      </w:r>
    </w:p>
    <w:p w14:paraId="612A8084" w14:textId="1708A684" w:rsidR="00A73C33" w:rsidRDefault="00A73C33" w:rsidP="00A73C33">
      <w:pPr>
        <w:pStyle w:val="ListBullet1"/>
      </w:pPr>
      <w:r>
        <w:t>Testing agency’s field supervisor: Person currently certified by the International Electrical Testing Association or the National Institute for Certification in Engineering Technologies to supervise on-site testing specified in Part 3.</w:t>
      </w:r>
    </w:p>
    <w:p w14:paraId="36913846" w14:textId="60F1C678" w:rsidR="00A73C33" w:rsidRDefault="00A73C33" w:rsidP="00A73C33">
      <w:pPr>
        <w:pStyle w:val="ListBullet1"/>
      </w:pPr>
      <w:r>
        <w:t>Source limitations: Obtain busbar and tap off box components and accessories using qualified manufactures.</w:t>
      </w:r>
    </w:p>
    <w:p w14:paraId="7C28939E" w14:textId="649D1532" w:rsidR="00A73C33" w:rsidRDefault="00A73C33" w:rsidP="00A73C33">
      <w:pPr>
        <w:pStyle w:val="ListBullet1"/>
      </w:pPr>
      <w:r>
        <w:t xml:space="preserve">Product options: Drawings indicate size, profiles, and dimensional requirements of busbar and are based on the specific systems indicated. </w:t>
      </w:r>
    </w:p>
    <w:p w14:paraId="3BB40B76" w14:textId="1B12191F" w:rsidR="00A73C33" w:rsidRDefault="00A73C33" w:rsidP="00A73C33">
      <w:pPr>
        <w:pStyle w:val="ListBullet1"/>
      </w:pPr>
      <w:r>
        <w:t>Electrical components, devices, and accessories:  Listed and labeled as defined in NFPA 70, by a qualified testing agency, and marked for intended location and application.</w:t>
      </w:r>
    </w:p>
    <w:p w14:paraId="05287979" w14:textId="5C6B7685" w:rsidR="00A73C33" w:rsidRDefault="00A73C33" w:rsidP="00A73C33">
      <w:pPr>
        <w:pStyle w:val="ListBullet1"/>
      </w:pPr>
      <w:r>
        <w:t>UL compliance:  Listed and labeled under UL 857. ETL is not recognized.</w:t>
      </w:r>
    </w:p>
    <w:p w14:paraId="74B5DF49" w14:textId="4AC01FD8" w:rsidR="00A73C33" w:rsidRPr="00A73C33" w:rsidRDefault="00A73C33" w:rsidP="00A73C33">
      <w:pPr>
        <w:pStyle w:val="ListBullet1"/>
      </w:pPr>
      <w:r>
        <w:t>NFPA compliance:  Mark components as suitable for installation in computer rooms according to NFPA 75.</w:t>
      </w:r>
    </w:p>
    <w:p w14:paraId="2AF6EA7D" w14:textId="68E09DDC" w:rsidR="00A73C33" w:rsidRDefault="00A73C33">
      <w:pPr>
        <w:widowControl/>
        <w:spacing w:after="160" w:line="259" w:lineRule="auto"/>
        <w:ind w:left="0"/>
      </w:pPr>
      <w:r>
        <w:br w:type="page"/>
      </w:r>
    </w:p>
    <w:p w14:paraId="0C14FBBC" w14:textId="1C02446A" w:rsidR="00A73C33" w:rsidRDefault="00A73C33" w:rsidP="003716EC">
      <w:pPr>
        <w:pStyle w:val="Heading1"/>
      </w:pPr>
      <w:r w:rsidRPr="00A73C33">
        <w:lastRenderedPageBreak/>
        <w:t>Product</w:t>
      </w:r>
    </w:p>
    <w:p w14:paraId="1E074471" w14:textId="091001DD" w:rsidR="003716EC" w:rsidRDefault="003716EC" w:rsidP="003716EC">
      <w:pPr>
        <w:pStyle w:val="Heading2"/>
      </w:pPr>
      <w:r w:rsidRPr="003716EC">
        <w:t>Manufacturers</w:t>
      </w:r>
    </w:p>
    <w:p w14:paraId="4D314FDD" w14:textId="3C368D5D" w:rsidR="003716EC" w:rsidRDefault="003716EC" w:rsidP="003716EC">
      <w:pPr>
        <w:pStyle w:val="ListBullet1"/>
      </w:pPr>
      <w:r>
        <w:t xml:space="preserve">Basis of Specification is </w:t>
      </w:r>
      <w:proofErr w:type="spellStart"/>
      <w:r>
        <w:t>PowerBar</w:t>
      </w:r>
      <w:proofErr w:type="spellEnd"/>
      <w:r>
        <w:t xml:space="preserve"> as manufactured by Vertiv.</w:t>
      </w:r>
    </w:p>
    <w:p w14:paraId="77D1C0B3" w14:textId="653E3EAC" w:rsidR="003716EC" w:rsidRDefault="003716EC" w:rsidP="003716EC">
      <w:pPr>
        <w:pStyle w:val="ListBullet1"/>
      </w:pPr>
      <w:r>
        <w:t>Acceptable alternates are the following: once they are approved by the Consulting Engineer for use on the project</w:t>
      </w:r>
      <w:proofErr w:type="gramStart"/>
      <w:r>
        <w:t xml:space="preserve">.  </w:t>
      </w:r>
      <w:proofErr w:type="gramEnd"/>
      <w:r>
        <w:t>A specification compliance by paragraph showing comply, deviate, or exception is to be submitted one week prior to bid date</w:t>
      </w:r>
    </w:p>
    <w:p w14:paraId="46242CAA" w14:textId="1FF72773" w:rsidR="003716EC" w:rsidRDefault="003716EC" w:rsidP="003716EC">
      <w:pPr>
        <w:pStyle w:val="ListBullet1"/>
      </w:pPr>
      <w:r>
        <w:t>Approved vendor by the Design Engineer.</w:t>
      </w:r>
    </w:p>
    <w:p w14:paraId="67B12DE2" w14:textId="453E53FC" w:rsidR="003716EC" w:rsidRDefault="003716EC" w:rsidP="003716EC">
      <w:pPr>
        <w:pStyle w:val="Heading2"/>
      </w:pPr>
      <w:r w:rsidRPr="003716EC">
        <w:t>Components</w:t>
      </w:r>
    </w:p>
    <w:p w14:paraId="0328C67D" w14:textId="3B354F50" w:rsidR="003716EC" w:rsidRDefault="003716EC" w:rsidP="003716EC">
      <w:pPr>
        <w:pStyle w:val="Heading3"/>
      </w:pPr>
      <w:r w:rsidRPr="003716EC">
        <w:t>Busbar Assembly</w:t>
      </w:r>
    </w:p>
    <w:p w14:paraId="6EFD8CC8" w14:textId="08D3D16C" w:rsidR="003716EC" w:rsidRDefault="003716EC" w:rsidP="003716EC">
      <w:pPr>
        <w:pStyle w:val="ListBullet1"/>
      </w:pPr>
      <w:r>
        <w:t>The lengths provided on the project shall be as recommended and selected by the manufacturer to meet the project requirements</w:t>
      </w:r>
      <w:proofErr w:type="gramStart"/>
      <w:r>
        <w:t xml:space="preserve">.  </w:t>
      </w:r>
      <w:proofErr w:type="gramEnd"/>
    </w:p>
    <w:p w14:paraId="100ED10A" w14:textId="1E801B77" w:rsidR="003716EC" w:rsidRDefault="003716EC" w:rsidP="003716EC">
      <w:pPr>
        <w:pStyle w:val="ListBullet1"/>
      </w:pPr>
      <w:r>
        <w:t>The lengths shall be available in lengths up to 13 feet with option to extend.</w:t>
      </w:r>
    </w:p>
    <w:p w14:paraId="23763431" w14:textId="701F9B5A" w:rsidR="003716EC" w:rsidRDefault="003716EC" w:rsidP="003716EC">
      <w:pPr>
        <w:pStyle w:val="ListBullet1"/>
      </w:pPr>
      <w:r>
        <w:t>The top of the busbar shall have a slot running the length of the busbar to provide attachment points for installation of the busbar</w:t>
      </w:r>
      <w:proofErr w:type="gramStart"/>
      <w:r>
        <w:t xml:space="preserve">.  </w:t>
      </w:r>
      <w:proofErr w:type="gramEnd"/>
    </w:p>
    <w:p w14:paraId="08BD0130" w14:textId="61A1D47A" w:rsidR="003716EC" w:rsidRDefault="003716EC" w:rsidP="003716EC">
      <w:pPr>
        <w:pStyle w:val="ListBullet1"/>
      </w:pPr>
      <w:r>
        <w:t>The hangers provided with the system should not in any way interfere with the tap off installation.</w:t>
      </w:r>
    </w:p>
    <w:p w14:paraId="55E3498E" w14:textId="61E7E5BB" w:rsidR="003716EC" w:rsidRDefault="003716EC" w:rsidP="003716EC">
      <w:pPr>
        <w:pStyle w:val="ListBullet1"/>
      </w:pPr>
      <w:r>
        <w:t>Various hangers need to be available for different type of installations to meet individual site needs.</w:t>
      </w:r>
    </w:p>
    <w:p w14:paraId="0B89B27E" w14:textId="32DCB668" w:rsidR="003716EC" w:rsidRDefault="003716EC" w:rsidP="003716EC">
      <w:pPr>
        <w:pStyle w:val="ListBullet1"/>
      </w:pPr>
      <w:r>
        <w:t>The bottom of the busbar shall have a continuous opening to accept the tap off boxes</w:t>
      </w:r>
      <w:proofErr w:type="gramStart"/>
      <w:r>
        <w:t xml:space="preserve">.  </w:t>
      </w:r>
      <w:proofErr w:type="gramEnd"/>
      <w:r>
        <w:t>This opening shall pass the UL and IEC hypothetical finger probe test. The entire opening with the exception of the small area for the joint coupling, shall be available for plug-in/tap off unit insertion</w:t>
      </w:r>
    </w:p>
    <w:p w14:paraId="3C914073" w14:textId="14980AF5" w:rsidR="003716EC" w:rsidRDefault="003716EC" w:rsidP="003716EC">
      <w:pPr>
        <w:pStyle w:val="ListBullet1"/>
      </w:pPr>
      <w:r>
        <w:t>Housing: The busbar housing sections shall be constructed of extruded aluminum and provide 100% rated system earth path that meets UL 857 standard and must comply with applicable paragraphs of Section 250 of the NEC. Steel housings shall not be permitted</w:t>
      </w:r>
    </w:p>
    <w:p w14:paraId="2B6249DB" w14:textId="584E9171" w:rsidR="003716EC" w:rsidRDefault="003716EC" w:rsidP="003716EC">
      <w:pPr>
        <w:pStyle w:val="ListBullet1"/>
      </w:pPr>
      <w:r>
        <w:t>The housing shall have a means of containing the smart cabling along its length when required.</w:t>
      </w:r>
    </w:p>
    <w:p w14:paraId="74B8145F" w14:textId="7240CD27" w:rsidR="003716EC" w:rsidRDefault="003716EC" w:rsidP="003716EC">
      <w:pPr>
        <w:pStyle w:val="ListBullet1"/>
      </w:pPr>
      <w:r>
        <w:t xml:space="preserve">Conductors: All conductors for amperage ratings up to 600A shall be made of 100% copper. Manufacturer of busbar to have </w:t>
      </w:r>
      <w:proofErr w:type="spellStart"/>
      <w:r>
        <w:t>Aluminium</w:t>
      </w:r>
      <w:proofErr w:type="spellEnd"/>
      <w:r>
        <w:t xml:space="preserve"> conductor option for amperage ratings up to 800A. All conductors sized to handle 100% of the busbar rating under continuous operation up to the maximum ambient temperature. The conductors shall be electrically isolated from the housing. </w:t>
      </w:r>
    </w:p>
    <w:p w14:paraId="54F27B18" w14:textId="5B87296E" w:rsidR="003716EC" w:rsidRDefault="003716EC" w:rsidP="003716EC">
      <w:pPr>
        <w:pStyle w:val="ListBullet1"/>
      </w:pPr>
      <w:r>
        <w:t>Bus: Bus bars shall be fabricated from high strength electrical grade Copper (C101 BS 1432/1433) 99.99% purity to ETP 99.9. Option for aluminum alloy 6101.</w:t>
      </w:r>
    </w:p>
    <w:p w14:paraId="756927D9" w14:textId="10B54F88" w:rsidR="003716EC" w:rsidRDefault="003716EC" w:rsidP="003716EC">
      <w:pPr>
        <w:pStyle w:val="ListBullet1"/>
        <w:keepNext/>
        <w:keepLines/>
      </w:pPr>
      <w:r>
        <w:lastRenderedPageBreak/>
        <w:t>Shall be capable of carrying rated current continuously up to an ambient temperature of 40°C.</w:t>
      </w:r>
    </w:p>
    <w:p w14:paraId="5E2AB1C2" w14:textId="581CC8BF" w:rsidR="003716EC" w:rsidRDefault="003716EC" w:rsidP="003716EC">
      <w:pPr>
        <w:pStyle w:val="ListBullet1"/>
      </w:pPr>
      <w:r>
        <w:t>Isolated earth: An isolated earth is to be supplied if shown on the drawings. This is required for the system where earth isolation is required such as systems with heavy microprocessor-based loads or large computer-based installations</w:t>
      </w:r>
      <w:proofErr w:type="gramStart"/>
      <w:r>
        <w:t xml:space="preserve">.  </w:t>
      </w:r>
      <w:proofErr w:type="gramEnd"/>
    </w:p>
    <w:p w14:paraId="26F2381E" w14:textId="0CFBA07B" w:rsidR="003716EC" w:rsidRDefault="003716EC" w:rsidP="003716EC">
      <w:pPr>
        <w:pStyle w:val="ListBullet1"/>
      </w:pPr>
      <w:r>
        <w:t xml:space="preserve">Oversized neutral for systems with non-linear loads. The additional capacity prevents overloading caused by zero sequence harmonic currents –available options are:  </w:t>
      </w:r>
    </w:p>
    <w:p w14:paraId="355FAC2B" w14:textId="43232265" w:rsidR="003716EC" w:rsidRDefault="003716EC" w:rsidP="003716EC">
      <w:pPr>
        <w:pStyle w:val="ListBullet2"/>
      </w:pPr>
      <w:r>
        <w:t>160A – 200% Oversized Neutral</w:t>
      </w:r>
    </w:p>
    <w:p w14:paraId="325CBC39" w14:textId="222C7C84" w:rsidR="003716EC" w:rsidRDefault="003716EC" w:rsidP="003716EC">
      <w:pPr>
        <w:pStyle w:val="ListBullet2"/>
      </w:pPr>
      <w:r>
        <w:t>250A – 170% Oversized Neutral</w:t>
      </w:r>
    </w:p>
    <w:p w14:paraId="2AAD9EF1" w14:textId="7DDDFC7E" w:rsidR="003716EC" w:rsidRDefault="003716EC" w:rsidP="003716EC">
      <w:pPr>
        <w:pStyle w:val="ListBullet2"/>
        <w:spacing w:after="240"/>
      </w:pPr>
      <w:r>
        <w:t>400A – 150% Oversized Neutral</w:t>
      </w:r>
    </w:p>
    <w:p w14:paraId="07307959" w14:textId="634E2498" w:rsidR="003716EC" w:rsidRDefault="003716EC" w:rsidP="003716EC">
      <w:pPr>
        <w:pStyle w:val="ListBullet1"/>
      </w:pPr>
      <w:r>
        <w:t>Insulators: Internal conductor shall be electrically isolated from the housing using full length individual insulator of IEC &amp; UL certified halogen free, non-flammable thermoplastic. The insulation must have excellent dielectric strength and is impact resistant.</w:t>
      </w:r>
    </w:p>
    <w:p w14:paraId="47DED9EC" w14:textId="5921181F" w:rsidR="003716EC" w:rsidRDefault="003716EC" w:rsidP="003716EC">
      <w:pPr>
        <w:pStyle w:val="Heading3"/>
      </w:pPr>
      <w:bookmarkStart w:id="1" w:name="_Toc93924259"/>
      <w:r w:rsidRPr="0003043B">
        <w:t>Tap Off Boxes</w:t>
      </w:r>
      <w:bookmarkEnd w:id="1"/>
    </w:p>
    <w:p w14:paraId="302E8401" w14:textId="70E1E7B1" w:rsidR="003716EC" w:rsidRDefault="003716EC" w:rsidP="003716EC">
      <w:pPr>
        <w:pStyle w:val="ListBullet1"/>
      </w:pPr>
      <w:r>
        <w:t xml:space="preserve">Tap off boxes shall be polarized to avoid incorrect installation. </w:t>
      </w:r>
    </w:p>
    <w:p w14:paraId="038AEE5D" w14:textId="704A33A2" w:rsidR="003716EC" w:rsidRDefault="003716EC" w:rsidP="003716EC">
      <w:pPr>
        <w:pStyle w:val="ListBullet1"/>
      </w:pPr>
      <w:r>
        <w:t xml:space="preserve">Tap off boxes are capable of being inserted safely when the busbar is energized. </w:t>
      </w:r>
    </w:p>
    <w:p w14:paraId="03E70AA7" w14:textId="5DB016A9" w:rsidR="003716EC" w:rsidRDefault="003716EC" w:rsidP="003716EC">
      <w:pPr>
        <w:pStyle w:val="ListBullet1"/>
      </w:pPr>
      <w:r>
        <w:t xml:space="preserve">All tap off boxes have mechanical/electrical interlocks with “earth first, break last” safety feature. </w:t>
      </w:r>
    </w:p>
    <w:p w14:paraId="51906A3B" w14:textId="66BA23E4" w:rsidR="003716EC" w:rsidRDefault="003716EC" w:rsidP="003716EC">
      <w:pPr>
        <w:pStyle w:val="ListBullet1"/>
      </w:pPr>
      <w:r>
        <w:t xml:space="preserve">All tap off boxes shall utilize a mechanical/electrical interlock that will prevent an energized plug-in unit from insertion or removal from the busbar and will reduce the risk of arch flash to the operator. </w:t>
      </w:r>
    </w:p>
    <w:p w14:paraId="2C4830CD" w14:textId="2B9DA971" w:rsidR="003716EC" w:rsidRDefault="003716EC" w:rsidP="003716EC">
      <w:pPr>
        <w:pStyle w:val="ListBullet1"/>
      </w:pPr>
      <w:r>
        <w:t>The tap off box shall have the option of being hook operated at the client's request</w:t>
      </w:r>
    </w:p>
    <w:p w14:paraId="6884FA5E" w14:textId="1C5094BA" w:rsidR="003716EC" w:rsidRDefault="003716EC" w:rsidP="003716EC">
      <w:pPr>
        <w:pStyle w:val="ListBullet1"/>
      </w:pPr>
      <w:r>
        <w:t>Tap off boxes shall use either a circuit breaker or a fuse for branch circuit protection as shown in the schedule on the project drawings and shall have the option of interlocking the MCB at the client’s request.</w:t>
      </w:r>
    </w:p>
    <w:p w14:paraId="5085D671" w14:textId="25202246" w:rsidR="003716EC" w:rsidRDefault="003716EC" w:rsidP="003716EC">
      <w:pPr>
        <w:pStyle w:val="ListBullet1"/>
      </w:pPr>
      <w:r>
        <w:t>Tap off boxes that include drop cords shall be manufactured with cord grips and receptacles as specified on the schedule on the project drawings.</w:t>
      </w:r>
    </w:p>
    <w:p w14:paraId="39809547" w14:textId="7A43E956" w:rsidR="003716EC" w:rsidRDefault="003716EC" w:rsidP="003716EC">
      <w:pPr>
        <w:pStyle w:val="ListBullet1"/>
      </w:pPr>
      <w:r>
        <w:t xml:space="preserve">Tap off boxes shall be configured by the manufacturer to balance the load based on quantity of </w:t>
      </w:r>
      <w:r w:rsidR="00387BD2">
        <w:t xml:space="preserve">tap off box </w:t>
      </w:r>
      <w:r>
        <w:t>types provided.</w:t>
      </w:r>
    </w:p>
    <w:p w14:paraId="14EB91AC" w14:textId="4BAA93D7" w:rsidR="003716EC" w:rsidRDefault="003716EC" w:rsidP="003716EC">
      <w:pPr>
        <w:pStyle w:val="ListBullet1"/>
      </w:pPr>
      <w:r>
        <w:t xml:space="preserve">Tap off boxes shall have at least 125 amps of distribution capacity for all amperage systems. </w:t>
      </w:r>
    </w:p>
    <w:p w14:paraId="2C4034E6" w14:textId="2443FAF2" w:rsidR="003716EC" w:rsidRDefault="003716EC" w:rsidP="003716EC">
      <w:pPr>
        <w:pStyle w:val="ListBullet1"/>
      </w:pPr>
      <w:r>
        <w:t>Tap off boxes can be easily added or removed without shutting power down to the busbar. Tap off boxes shall have integral shutters. Verification of compliance shall be provided in writing from manufacturer.</w:t>
      </w:r>
    </w:p>
    <w:p w14:paraId="363A24FC" w14:textId="737A6537" w:rsidR="003716EC" w:rsidRDefault="003716EC" w:rsidP="003716EC">
      <w:pPr>
        <w:pStyle w:val="ListBullet1"/>
      </w:pPr>
      <w:r>
        <w:t>Tap off boxes that make a simultaneous mechanical and electrical connection when attached to busbar shall not be permitted.</w:t>
      </w:r>
    </w:p>
    <w:p w14:paraId="6FA9B1AF" w14:textId="2C24298D" w:rsidR="003716EC" w:rsidRDefault="003716EC" w:rsidP="003716EC">
      <w:pPr>
        <w:pStyle w:val="ListBullet1"/>
      </w:pPr>
      <w:r>
        <w:lastRenderedPageBreak/>
        <w:t>The tap off units shall be compatible for vertical and horizontal mounting of the busway</w:t>
      </w:r>
      <w:r w:rsidR="00387BD2">
        <w:t>.</w:t>
      </w:r>
    </w:p>
    <w:p w14:paraId="5C12741E" w14:textId="025AD0EE" w:rsidR="003716EC" w:rsidRDefault="003716EC" w:rsidP="003716EC">
      <w:pPr>
        <w:pStyle w:val="ListBullet1"/>
      </w:pPr>
      <w:r>
        <w:t>The tap off units shall be compatible with all current ratings of the busbar/busway system</w:t>
      </w:r>
      <w:r w:rsidR="00387BD2">
        <w:t>.</w:t>
      </w:r>
    </w:p>
    <w:p w14:paraId="4AFD9251" w14:textId="710DF19B" w:rsidR="003716EC" w:rsidRDefault="003716EC" w:rsidP="003716EC">
      <w:pPr>
        <w:pStyle w:val="ListBullet1"/>
      </w:pPr>
      <w:r>
        <w:t>The required protection device shall be indicated on the manufacturer's submittal drawings</w:t>
      </w:r>
      <w:r w:rsidR="00387BD2">
        <w:t>.</w:t>
      </w:r>
    </w:p>
    <w:p w14:paraId="7CE30B15" w14:textId="3EFABB86" w:rsidR="003716EC" w:rsidRDefault="003716EC" w:rsidP="003716EC">
      <w:pPr>
        <w:pStyle w:val="ListBullet1"/>
      </w:pPr>
      <w:r>
        <w:t>The required outlet device shall be indicated on the manufacturer's submittal drawings</w:t>
      </w:r>
      <w:r w:rsidR="00387BD2">
        <w:t>.</w:t>
      </w:r>
    </w:p>
    <w:p w14:paraId="65A739A5" w14:textId="091D0499" w:rsidR="003716EC" w:rsidRDefault="003716EC" w:rsidP="003716EC">
      <w:pPr>
        <w:pStyle w:val="ListBullet1"/>
      </w:pPr>
      <w:r>
        <w:t>For tap off boxes requiring drop cords, the cord length shall be specified by the customer at the time of purchase order. The length shall be the length of the cord and not the pre-assembled outlet.</w:t>
      </w:r>
    </w:p>
    <w:p w14:paraId="52BC39F0" w14:textId="765402DC" w:rsidR="00D34667" w:rsidRDefault="00D34667" w:rsidP="00D34667">
      <w:pPr>
        <w:pStyle w:val="Heading3"/>
      </w:pPr>
      <w:bookmarkStart w:id="2" w:name="_Toc93924260"/>
      <w:r>
        <w:t>End Feed</w:t>
      </w:r>
      <w:bookmarkEnd w:id="2"/>
    </w:p>
    <w:p w14:paraId="4A43FE98" w14:textId="59C1DDC7" w:rsidR="00D34667" w:rsidRDefault="00D34667" w:rsidP="00D34667">
      <w:pPr>
        <w:pStyle w:val="ListBullet1"/>
      </w:pPr>
      <w:r>
        <w:t>The end feed shall provide the connections from the incoming cables to the Busbar System</w:t>
      </w:r>
      <w:proofErr w:type="gramStart"/>
      <w:r>
        <w:t xml:space="preserve">.  </w:t>
      </w:r>
      <w:proofErr w:type="gramEnd"/>
    </w:p>
    <w:p w14:paraId="2D8AF43F" w14:textId="4C03E4D1" w:rsidR="00D34667" w:rsidRDefault="00D34667" w:rsidP="00D34667">
      <w:pPr>
        <w:pStyle w:val="ListBullet1"/>
      </w:pPr>
      <w:r>
        <w:t>The end feed shall be an IP2X enclosure with various access panels for incoming cabling</w:t>
      </w:r>
      <w:proofErr w:type="gramStart"/>
      <w:r>
        <w:t xml:space="preserve">.  </w:t>
      </w:r>
      <w:proofErr w:type="gramEnd"/>
    </w:p>
    <w:p w14:paraId="46C8E55C" w14:textId="2DA60966" w:rsidR="00D34667" w:rsidRDefault="00D34667" w:rsidP="00D34667">
      <w:pPr>
        <w:pStyle w:val="ListBullet1"/>
      </w:pPr>
      <w:r>
        <w:t xml:space="preserve">The end feed shall have an internal connection to a section of Busbar conductors. </w:t>
      </w:r>
    </w:p>
    <w:p w14:paraId="0FFEAAEF" w14:textId="35BEE6F2" w:rsidR="00D34667" w:rsidRPr="00D34667" w:rsidRDefault="00D34667" w:rsidP="00D34667">
      <w:pPr>
        <w:pStyle w:val="ListBullet1"/>
      </w:pPr>
      <w:r>
        <w:t>The end feed shall be available as an end feed or center feed box to accommodate existing or future site conditions.</w:t>
      </w:r>
    </w:p>
    <w:p w14:paraId="39462312" w14:textId="7C52DAF1" w:rsidR="00D34667" w:rsidRDefault="00D34667" w:rsidP="00D34667">
      <w:pPr>
        <w:pStyle w:val="Heading3"/>
      </w:pPr>
      <w:r w:rsidRPr="00D34667">
        <w:t>Final Circuit Monitoring (Optional)</w:t>
      </w:r>
    </w:p>
    <w:p w14:paraId="46A75F81" w14:textId="6C394B52" w:rsidR="00D34667" w:rsidRDefault="00D34667" w:rsidP="00D34667">
      <w:pPr>
        <w:pStyle w:val="ListBullet1"/>
      </w:pPr>
      <w:r>
        <w:t xml:space="preserve">The </w:t>
      </w:r>
      <w:r w:rsidR="00F1537A">
        <w:t xml:space="preserve">final circuit monitoring </w:t>
      </w:r>
      <w:r>
        <w:t xml:space="preserve">should be integrated into the busway delivering the measurement of total load for individual </w:t>
      </w:r>
      <w:r w:rsidR="00F1537A">
        <w:t>tap off loads t</w:t>
      </w:r>
      <w:r>
        <w:t>o the DCIM/BMS system</w:t>
      </w:r>
      <w:r w:rsidR="00F1537A">
        <w:t>.</w:t>
      </w:r>
    </w:p>
    <w:p w14:paraId="1E07ACC2" w14:textId="511D4DAA" w:rsidR="00D34667" w:rsidRDefault="00D34667" w:rsidP="00D34667">
      <w:pPr>
        <w:pStyle w:val="ListBullet1"/>
      </w:pPr>
      <w:r>
        <w:t>Protocol:  Modbus RTU or Modbus TCP or any other industry standard open protocol</w:t>
      </w:r>
      <w:r w:rsidR="00F1537A">
        <w:t>.</w:t>
      </w:r>
    </w:p>
    <w:p w14:paraId="277B609A" w14:textId="06D8AF4A" w:rsidR="00D34667" w:rsidRDefault="00D34667" w:rsidP="00D34667">
      <w:pPr>
        <w:pStyle w:val="ListBullet1"/>
      </w:pPr>
      <w:r>
        <w:t xml:space="preserve">The </w:t>
      </w:r>
      <w:r w:rsidR="00F1537A">
        <w:t xml:space="preserve">final circuit monitoring system </w:t>
      </w:r>
      <w:r>
        <w:t xml:space="preserve">shall be capable of monitoring and providing all power calculations for the total input power for each busway run at end feed level. Tap </w:t>
      </w:r>
      <w:r w:rsidR="00F1537A">
        <w:t xml:space="preserve">off box monitoring </w:t>
      </w:r>
      <w:r>
        <w:t>(</w:t>
      </w:r>
      <w:r w:rsidR="00F1537A">
        <w:t>optional</w:t>
      </w:r>
      <w:r>
        <w:t>)</w:t>
      </w:r>
      <w:r w:rsidR="00F1537A">
        <w:t>.</w:t>
      </w:r>
    </w:p>
    <w:p w14:paraId="11A650F5" w14:textId="1B893041" w:rsidR="00D34667" w:rsidRDefault="00D34667" w:rsidP="00D34667">
      <w:pPr>
        <w:pStyle w:val="ListBullet1"/>
      </w:pPr>
      <w:r>
        <w:t xml:space="preserve">The </w:t>
      </w:r>
      <w:r w:rsidR="00F1537A">
        <w:t xml:space="preserve">final circuit monitoring system </w:t>
      </w:r>
      <w:r>
        <w:t>shall be capable of complete integration with the DCIM and BMS system.</w:t>
      </w:r>
    </w:p>
    <w:p w14:paraId="1C0A43D9" w14:textId="77777777" w:rsidR="00F1537A" w:rsidRDefault="00F1537A" w:rsidP="00F1537A">
      <w:pPr>
        <w:pStyle w:val="Heading3"/>
      </w:pPr>
      <w:r w:rsidRPr="00F1537A">
        <w:t>Tap Off Box Monitoring</w:t>
      </w:r>
    </w:p>
    <w:p w14:paraId="790CF731" w14:textId="1D698EBA" w:rsidR="00F1537A" w:rsidRDefault="00F1537A" w:rsidP="00F1537A">
      <w:r w:rsidRPr="00F1537A">
        <w:t>The tap off boxes as indicated on the schedule on the project drawings shall have the following power measurements and remote monitoring interface</w:t>
      </w:r>
      <w:r>
        <w:t>.</w:t>
      </w:r>
    </w:p>
    <w:p w14:paraId="3FBC00FA" w14:textId="77777777" w:rsidR="00F1537A" w:rsidRDefault="00F1537A" w:rsidP="00F1537A">
      <w:pPr>
        <w:pStyle w:val="Heading3"/>
      </w:pPr>
      <w:r>
        <w:t>End Feed Monitoring (Option – Select as Required)</w:t>
      </w:r>
    </w:p>
    <w:p w14:paraId="736E9AA1" w14:textId="4D19BBD9" w:rsidR="00F1537A" w:rsidRDefault="00F1537A" w:rsidP="00F1537A">
      <w:r>
        <w:t>The end feed is to be provided with the following power measurements and remote monitoring interface.</w:t>
      </w:r>
    </w:p>
    <w:p w14:paraId="752F0773" w14:textId="0468AAD3" w:rsidR="00F1537A" w:rsidRDefault="00F1537A" w:rsidP="00F1537A">
      <w:pPr>
        <w:pStyle w:val="ListBullet1"/>
        <w:pageBreakBefore/>
      </w:pPr>
      <w:r>
        <w:lastRenderedPageBreak/>
        <w:t>Input voltage (L/L and L/N)</w:t>
      </w:r>
    </w:p>
    <w:p w14:paraId="283DB573" w14:textId="1E5ABAEF" w:rsidR="00F1537A" w:rsidRDefault="00F1537A" w:rsidP="00F1537A">
      <w:pPr>
        <w:pStyle w:val="ListBullet1"/>
      </w:pPr>
      <w:r>
        <w:t>Current per phase (min/max)</w:t>
      </w:r>
    </w:p>
    <w:p w14:paraId="6266BB31" w14:textId="45D5BA08" w:rsidR="00F1537A" w:rsidRDefault="00F1537A" w:rsidP="00F1537A">
      <w:pPr>
        <w:pStyle w:val="ListBullet1"/>
      </w:pPr>
      <w:r>
        <w:t>Voltage per phase (min/max)</w:t>
      </w:r>
    </w:p>
    <w:p w14:paraId="1A282C68" w14:textId="6BF5E27E" w:rsidR="00F1537A" w:rsidRDefault="00F1537A" w:rsidP="00F1537A">
      <w:pPr>
        <w:pStyle w:val="ListBullet1"/>
      </w:pPr>
      <w:r>
        <w:t>Neutral current</w:t>
      </w:r>
    </w:p>
    <w:p w14:paraId="123C50F3" w14:textId="1A8E5D93" w:rsidR="00F1537A" w:rsidRDefault="00F1537A" w:rsidP="00F1537A">
      <w:pPr>
        <w:pStyle w:val="ListBullet1"/>
      </w:pPr>
      <w:r>
        <w:t>Power factor</w:t>
      </w:r>
    </w:p>
    <w:p w14:paraId="2EFA327A" w14:textId="4F972332" w:rsidR="00F1537A" w:rsidRDefault="00F1537A" w:rsidP="00F1537A">
      <w:pPr>
        <w:pStyle w:val="ListBullet1"/>
      </w:pPr>
      <w:r>
        <w:t>Frequency</w:t>
      </w:r>
    </w:p>
    <w:p w14:paraId="4F6F2EA3" w14:textId="760EBDF3" w:rsidR="00F1537A" w:rsidRDefault="00F1537A" w:rsidP="00F1537A">
      <w:pPr>
        <w:pStyle w:val="ListBullet1"/>
      </w:pPr>
      <w:r>
        <w:t>Power (active, reactive, apparent)</w:t>
      </w:r>
    </w:p>
    <w:p w14:paraId="775D0585" w14:textId="4D4BB398" w:rsidR="00F1537A" w:rsidRDefault="00F1537A" w:rsidP="00F1537A">
      <w:pPr>
        <w:pStyle w:val="ListBullet1"/>
      </w:pPr>
      <w:r>
        <w:t>Demand (</w:t>
      </w:r>
      <w:proofErr w:type="spellStart"/>
      <w:r>
        <w:t>kWH</w:t>
      </w:r>
      <w:proofErr w:type="spellEnd"/>
      <w:r>
        <w:t>)</w:t>
      </w:r>
    </w:p>
    <w:p w14:paraId="46A9A525" w14:textId="679C8AD8" w:rsidR="00F1537A" w:rsidRDefault="00F1537A" w:rsidP="00F1537A">
      <w:pPr>
        <w:pStyle w:val="ListBullet1"/>
      </w:pPr>
      <w:r>
        <w:t>Voltage and current THD%</w:t>
      </w:r>
    </w:p>
    <w:p w14:paraId="75315095" w14:textId="17BC3F88" w:rsidR="00F1537A" w:rsidRDefault="00F1537A" w:rsidP="00F1537A">
      <w:pPr>
        <w:pStyle w:val="ListBullet1"/>
      </w:pPr>
      <w:r>
        <w:t>Current peak demand</w:t>
      </w:r>
    </w:p>
    <w:p w14:paraId="7FED63A7" w14:textId="79192B41" w:rsidR="00F1537A" w:rsidRDefault="00F1537A" w:rsidP="00F1537A">
      <w:pPr>
        <w:pStyle w:val="ListBullet1"/>
      </w:pPr>
      <w:r>
        <w:t>Accuracy is better than 0.5%</w:t>
      </w:r>
    </w:p>
    <w:p w14:paraId="511503DD" w14:textId="7EB004F9" w:rsidR="00F1537A" w:rsidRDefault="00F1537A" w:rsidP="00F1537A">
      <w:pPr>
        <w:pStyle w:val="ListBullet1"/>
      </w:pPr>
      <w:r>
        <w:t>Communication is Modbus RTU or Modbus TCP and SNMP simultaneously</w:t>
      </w:r>
    </w:p>
    <w:p w14:paraId="2E421B6A" w14:textId="5CFB478D" w:rsidR="00F1537A" w:rsidRDefault="00F1537A" w:rsidP="00F1537A">
      <w:pPr>
        <w:pStyle w:val="ListBullet1"/>
      </w:pPr>
      <w:r>
        <w:t>LED display</w:t>
      </w:r>
    </w:p>
    <w:p w14:paraId="7595339C" w14:textId="368E8B61" w:rsidR="00F1537A" w:rsidRDefault="00F1537A" w:rsidP="00F1537A">
      <w:pPr>
        <w:pStyle w:val="Heading3"/>
      </w:pPr>
      <w:r w:rsidRPr="00F1537A">
        <w:t>End Feed Thermal Monitoring System (Optional)</w:t>
      </w:r>
    </w:p>
    <w:p w14:paraId="1A5A0EC9" w14:textId="423CB545" w:rsidR="00F1537A" w:rsidRDefault="00F1537A" w:rsidP="00F1537A">
      <w:pPr>
        <w:pStyle w:val="ListBullet1"/>
      </w:pPr>
      <w:r>
        <w:t>Provide a continuous thermal monitoring system (TMS) for feeder termination points as well other power conduction points that have the potential to develop hot spots over time.</w:t>
      </w:r>
    </w:p>
    <w:p w14:paraId="0BF5F2FD" w14:textId="5246775F" w:rsidR="00F1537A" w:rsidRDefault="00F1537A" w:rsidP="00F1537A">
      <w:pPr>
        <w:pStyle w:val="ListBullet1"/>
      </w:pPr>
      <w:r>
        <w:t>TMS shall provide real-time heat rise data for each cable landing. Heat rise data shall be provided to the EPMS system via Modbus TCP protocol.</w:t>
      </w:r>
    </w:p>
    <w:p w14:paraId="75778FB3" w14:textId="618ED96D" w:rsidR="00F1537A" w:rsidRDefault="00F1537A" w:rsidP="00F1537A">
      <w:pPr>
        <w:pStyle w:val="ListBullet1"/>
      </w:pPr>
      <w:r>
        <w:t>TMS shall be factory-installed and tested to the extent possible by the equipment manufacturer. Any field work required shall be performed by factory-certified personnel.</w:t>
      </w:r>
    </w:p>
    <w:p w14:paraId="1585DF02" w14:textId="070B1343" w:rsidR="00F1537A" w:rsidRDefault="00F1537A" w:rsidP="00F1537A">
      <w:pPr>
        <w:rPr>
          <w:rFonts w:ascii="Calibre Medium" w:hAnsi="Calibre Medium"/>
        </w:rPr>
      </w:pPr>
      <w:r w:rsidRPr="00F1537A">
        <w:rPr>
          <w:rFonts w:ascii="Calibre Medium" w:hAnsi="Calibre Medium"/>
        </w:rPr>
        <w:t>Option 1: IR/Contact Continuous Temperature Monitoring</w:t>
      </w:r>
    </w:p>
    <w:p w14:paraId="6FEF7198" w14:textId="63BDFEF9" w:rsidR="00F1537A" w:rsidRPr="00F1537A" w:rsidRDefault="00F1537A" w:rsidP="00F1537A">
      <w:pPr>
        <w:pStyle w:val="ListBullet1"/>
      </w:pPr>
      <w:r w:rsidRPr="00F1537A">
        <w:t>Thermal sensors for bus connections shall be non-contact, non-powered, and shall not require periodic calibration.</w:t>
      </w:r>
    </w:p>
    <w:p w14:paraId="4FE5C7E8" w14:textId="576F2CFF" w:rsidR="00F1537A" w:rsidRPr="00F1537A" w:rsidRDefault="00F1537A" w:rsidP="00F1537A">
      <w:pPr>
        <w:pStyle w:val="ListBullet1"/>
      </w:pPr>
      <w:r w:rsidRPr="00F1537A">
        <w:t>Thermal sensors for cables shall be contact type, non-powered, and shall not require periodic calibration.</w:t>
      </w:r>
    </w:p>
    <w:p w14:paraId="3D32FA81" w14:textId="21C2941C" w:rsidR="00F1537A" w:rsidRPr="00F1537A" w:rsidRDefault="00F1537A" w:rsidP="00F1537A">
      <w:pPr>
        <w:pStyle w:val="ListBullet1"/>
      </w:pPr>
      <w:r w:rsidRPr="00F1537A">
        <w:t>Sensors positioned appropriately to detect heat rise from potentially overloaded or poorly conducting electrical connections.</w:t>
      </w:r>
    </w:p>
    <w:p w14:paraId="4EEEB633" w14:textId="6F371984" w:rsidR="00F1537A" w:rsidRDefault="00F1537A" w:rsidP="00F1537A">
      <w:pPr>
        <w:pStyle w:val="ListBullet1"/>
      </w:pPr>
      <w:r w:rsidRPr="00F1537A">
        <w:t>Thermal sensors shall be monitored via a Modbus data concentrator, which in turn will be connected to the EPMS via Ethernet.</w:t>
      </w:r>
    </w:p>
    <w:p w14:paraId="2FDAC8DA" w14:textId="7764D56F" w:rsidR="00F1537A" w:rsidRDefault="00F1537A" w:rsidP="00F1537A">
      <w:pPr>
        <w:rPr>
          <w:rFonts w:ascii="Calibre Medium" w:hAnsi="Calibre Medium"/>
        </w:rPr>
      </w:pPr>
      <w:r w:rsidRPr="00F1537A">
        <w:rPr>
          <w:rFonts w:ascii="Calibre Medium" w:hAnsi="Calibre Medium"/>
        </w:rPr>
        <w:lastRenderedPageBreak/>
        <w:t>Option 2: Infrared Windows for Periodic Manual Scanning</w:t>
      </w:r>
    </w:p>
    <w:p w14:paraId="44B1D0D4" w14:textId="6C6A3645" w:rsidR="00F1537A" w:rsidRPr="00F1537A" w:rsidRDefault="00F1537A" w:rsidP="00F1537A">
      <w:pPr>
        <w:pStyle w:val="ListBullet1"/>
      </w:pPr>
      <w:r w:rsidRPr="00F1537A">
        <w:t>Provide price delta to substitute infrared arc resistant view windows for IR/contact thermal monitoring. IR windows to be installed in the electrical equipment by manufacturer in locations to allow unobstructed and safe IR scanning of feeder termination points as well other power conduction points that may develop hot spots over time.</w:t>
      </w:r>
    </w:p>
    <w:p w14:paraId="725CFFA5" w14:textId="54C8623C" w:rsidR="00F1537A" w:rsidRDefault="0079335B" w:rsidP="00506DE0">
      <w:pPr>
        <w:pStyle w:val="Heading3"/>
      </w:pPr>
      <w:bookmarkStart w:id="3" w:name="_Toc93924262"/>
      <w:r w:rsidRPr="0003043B">
        <w:t>Miscellaneous Hardware</w:t>
      </w:r>
      <w:bookmarkEnd w:id="3"/>
    </w:p>
    <w:p w14:paraId="0CBDADF2" w14:textId="324F05EA" w:rsidR="0079335B" w:rsidRDefault="0079335B" w:rsidP="0079335B">
      <w:pPr>
        <w:pStyle w:val="ListBullet1"/>
      </w:pPr>
      <w:r>
        <w:t>End cap: The end cap is installed at the end of the busbar run.</w:t>
      </w:r>
    </w:p>
    <w:p w14:paraId="63C6E0F2" w14:textId="5E77AD32" w:rsidR="0079335B" w:rsidRDefault="0079335B" w:rsidP="0079335B">
      <w:pPr>
        <w:pStyle w:val="ListBullet1"/>
      </w:pPr>
      <w:r>
        <w:t>Joint kit:  The joint kit is used to make electrical and mechanical connections between busbar sections and end feeds, via a bolted means and no special tooling is required. The joint packs should be such that tap off Boxes can be installed very close to the joints.</w:t>
      </w:r>
    </w:p>
    <w:p w14:paraId="5FB0A16B" w14:textId="0CF81C93" w:rsidR="0079335B" w:rsidRDefault="0079335B" w:rsidP="0079335B">
      <w:pPr>
        <w:pStyle w:val="ListBullet1"/>
      </w:pPr>
      <w:r>
        <w:t xml:space="preserve">Busbar hangers:  Busbar hangers are installed in the top slot of the busbar and provide for connections to the suspension system provided by the installing contractor. Hanger assemblies must not interfere or obstruct the busbar / busway opening intended for installation of Tap Off Units. The installing contractor shall supply threaded rod or </w:t>
      </w:r>
      <w:proofErr w:type="spellStart"/>
      <w:r>
        <w:t>uni</w:t>
      </w:r>
      <w:proofErr w:type="spellEnd"/>
      <w:r>
        <w:noBreakHyphen/>
        <w:t>strut where required for hanging the busbar/busway.</w:t>
      </w:r>
    </w:p>
    <w:p w14:paraId="162D693B" w14:textId="60015EF7" w:rsidR="0079335B" w:rsidRDefault="0079335B" w:rsidP="0079335B">
      <w:pPr>
        <w:pStyle w:val="ListBullet1"/>
      </w:pPr>
      <w:r>
        <w:t>Closure strips: Is to be provided only if shown on the drawings. This increases IP rating to IP3X</w:t>
      </w:r>
    </w:p>
    <w:p w14:paraId="266D7E60" w14:textId="1422EDC2" w:rsidR="0079335B" w:rsidRDefault="0079335B" w:rsidP="0079335B">
      <w:pPr>
        <w:pStyle w:val="ListBullet1"/>
      </w:pPr>
      <w:r>
        <w:t>The manufacturer should have available a standard range of accessories including elbows, etc. to all for complete system install.</w:t>
      </w:r>
    </w:p>
    <w:p w14:paraId="1B07F31C" w14:textId="1B064587" w:rsidR="00D76BC6" w:rsidRDefault="00D76BC6">
      <w:pPr>
        <w:widowControl/>
        <w:spacing w:after="160" w:line="259" w:lineRule="auto"/>
        <w:ind w:left="0"/>
      </w:pPr>
      <w:r>
        <w:br w:type="page"/>
      </w:r>
    </w:p>
    <w:p w14:paraId="5AA6030A" w14:textId="07A376E0" w:rsidR="00D76BC6" w:rsidRDefault="00D76BC6" w:rsidP="00D76BC6">
      <w:pPr>
        <w:pStyle w:val="Heading1"/>
      </w:pPr>
      <w:r w:rsidRPr="00D76BC6">
        <w:lastRenderedPageBreak/>
        <w:t>Execution</w:t>
      </w:r>
    </w:p>
    <w:p w14:paraId="251436C9" w14:textId="40C2A035" w:rsidR="00D76BC6" w:rsidRDefault="00D76BC6" w:rsidP="00D76BC6">
      <w:pPr>
        <w:pStyle w:val="Heading2"/>
      </w:pPr>
      <w:bookmarkStart w:id="4" w:name="_Toc93924264"/>
      <w:r>
        <w:t>Factory Testing</w:t>
      </w:r>
      <w:bookmarkEnd w:id="4"/>
    </w:p>
    <w:p w14:paraId="60101F3A" w14:textId="354748B5" w:rsidR="00D76BC6" w:rsidRDefault="00D76BC6" w:rsidP="00D76BC6">
      <w:pPr>
        <w:pStyle w:val="ListBullet1"/>
      </w:pPr>
      <w:r>
        <w:t>Standard factory tests shall be performed on the equipment provided under this section.</w:t>
      </w:r>
    </w:p>
    <w:p w14:paraId="658ADF71" w14:textId="15124F2A" w:rsidR="00D76BC6" w:rsidRDefault="00D76BC6" w:rsidP="00D76BC6">
      <w:pPr>
        <w:pStyle w:val="ListBullet1"/>
      </w:pPr>
      <w:r>
        <w:t>All tests shall be in accordance with the latest version of ANSI and NEMA standards.</w:t>
      </w:r>
    </w:p>
    <w:p w14:paraId="0588F583" w14:textId="059379DA" w:rsidR="00D76BC6" w:rsidRDefault="00D76BC6" w:rsidP="00D76BC6">
      <w:pPr>
        <w:pStyle w:val="ListBullet1"/>
      </w:pPr>
      <w:r>
        <w:t>The manufacturer shall provide certified copies of factory test reports upon request.</w:t>
      </w:r>
    </w:p>
    <w:p w14:paraId="05B65B78" w14:textId="00A19035" w:rsidR="00D76BC6" w:rsidRDefault="00D76BC6" w:rsidP="00D76BC6">
      <w:pPr>
        <w:pStyle w:val="Heading2"/>
      </w:pPr>
      <w:r w:rsidRPr="00D76BC6">
        <w:t>Examination</w:t>
      </w:r>
    </w:p>
    <w:p w14:paraId="2243D305" w14:textId="33610F82" w:rsidR="00D76BC6" w:rsidRDefault="00D76BC6" w:rsidP="00D76BC6">
      <w:pPr>
        <w:pStyle w:val="ListBullet1"/>
      </w:pPr>
      <w:r>
        <w:t>Examine areas and conditions, with installer present, for compliance with requirements for conditions affecting performance of the busbar.</w:t>
      </w:r>
    </w:p>
    <w:p w14:paraId="5125ED3C" w14:textId="1466B3FB" w:rsidR="00D76BC6" w:rsidRDefault="00D76BC6" w:rsidP="00D76BC6">
      <w:pPr>
        <w:pStyle w:val="ListBullet1"/>
      </w:pPr>
      <w:r>
        <w:t>Proceed with installation only after unsatisfactory conditions have been corrected.</w:t>
      </w:r>
    </w:p>
    <w:p w14:paraId="43136286" w14:textId="4649D433" w:rsidR="00D76BC6" w:rsidRDefault="00D76BC6" w:rsidP="00D76BC6">
      <w:pPr>
        <w:pStyle w:val="Heading2"/>
      </w:pPr>
      <w:r w:rsidRPr="00D76BC6">
        <w:t>Installation</w:t>
      </w:r>
    </w:p>
    <w:p w14:paraId="5F954E04" w14:textId="14008B3F" w:rsidR="00D76BC6" w:rsidRDefault="00D76BC6" w:rsidP="00D76BC6">
      <w:pPr>
        <w:pStyle w:val="ListBullet1"/>
      </w:pPr>
      <w:r>
        <w:t>The contractor shall install the busbar in accordance with manufacturer’s instructions.</w:t>
      </w:r>
    </w:p>
    <w:p w14:paraId="7DDECA90" w14:textId="0B141DC3" w:rsidR="00D76BC6" w:rsidRDefault="00D76BC6" w:rsidP="00D76BC6">
      <w:pPr>
        <w:pStyle w:val="ListBullet1"/>
      </w:pPr>
      <w:r>
        <w:t>The busbar runs shall consist of lengths as shown on the drawings.</w:t>
      </w:r>
    </w:p>
    <w:p w14:paraId="670DF1B8" w14:textId="0A26DCAA" w:rsidR="00D76BC6" w:rsidRDefault="00D76BC6" w:rsidP="00D76BC6">
      <w:pPr>
        <w:pStyle w:val="ListBullet1"/>
      </w:pPr>
      <w:r>
        <w:t xml:space="preserve">The </w:t>
      </w:r>
      <w:r w:rsidR="00506DE0">
        <w:t xml:space="preserve">tap off boxes </w:t>
      </w:r>
      <w:r>
        <w:t>orientation shall be as indicated on the drawings.</w:t>
      </w:r>
    </w:p>
    <w:p w14:paraId="1CFEFFFB" w14:textId="0EAF1725" w:rsidR="00D76BC6" w:rsidRDefault="00D76BC6" w:rsidP="00D76BC6">
      <w:pPr>
        <w:pStyle w:val="ListBullet1"/>
      </w:pPr>
      <w:r>
        <w:t>Hanging of the busbar shall be done using the busbar hangers from a structure above the busbar</w:t>
      </w:r>
      <w:proofErr w:type="gramStart"/>
      <w:r>
        <w:t xml:space="preserve">.  </w:t>
      </w:r>
      <w:proofErr w:type="gramEnd"/>
    </w:p>
    <w:p w14:paraId="7DAEF561" w14:textId="67A273CB" w:rsidR="00D76BC6" w:rsidRDefault="00D76BC6" w:rsidP="00D76BC6">
      <w:pPr>
        <w:pStyle w:val="ListBullet1"/>
      </w:pPr>
      <w:r>
        <w:t>The hangers shall connect to the busbar, and to an all-thread rod provided by the installing contractor</w:t>
      </w:r>
      <w:proofErr w:type="gramStart"/>
      <w:r>
        <w:t xml:space="preserve">.  </w:t>
      </w:r>
      <w:proofErr w:type="gramEnd"/>
    </w:p>
    <w:p w14:paraId="3C088918" w14:textId="77C3F7C7" w:rsidR="00D76BC6" w:rsidRDefault="00D76BC6" w:rsidP="00D76BC6">
      <w:pPr>
        <w:pStyle w:val="ListBullet1"/>
      </w:pPr>
      <w:r>
        <w:t>The spacing of the hangers along the busbar is 5 feet or less as recommended by the manufacturer.</w:t>
      </w:r>
    </w:p>
    <w:p w14:paraId="2E802520" w14:textId="5542C52D" w:rsidR="00D76BC6" w:rsidRDefault="00D76BC6" w:rsidP="00D76BC6">
      <w:pPr>
        <w:pStyle w:val="ListBullet1"/>
      </w:pPr>
      <w:r>
        <w:t>The end feed shall have connection provisions for the contractor supplied feeder cabling.</w:t>
      </w:r>
    </w:p>
    <w:p w14:paraId="051D1A70" w14:textId="1060D678" w:rsidR="00D76BC6" w:rsidRDefault="00D76BC6" w:rsidP="00D76BC6">
      <w:pPr>
        <w:pStyle w:val="ListBullet1"/>
      </w:pPr>
      <w:r>
        <w:t>The end feed shall be connected to the busbar section using a joint kit.</w:t>
      </w:r>
    </w:p>
    <w:p w14:paraId="488BFE0C" w14:textId="06B6A2E8" w:rsidR="00D76BC6" w:rsidRDefault="00D76BC6" w:rsidP="00D76BC6">
      <w:pPr>
        <w:pStyle w:val="ListBullet1"/>
      </w:pPr>
      <w:r>
        <w:t>Connection of sections of the busbar shall be done using a joint kit. The connection shall be made per the manufacturer’s instructions.</w:t>
      </w:r>
    </w:p>
    <w:p w14:paraId="3D9DF783" w14:textId="7E7363C5" w:rsidR="00D76BC6" w:rsidRDefault="00D76BC6" w:rsidP="00D76BC6">
      <w:pPr>
        <w:pStyle w:val="ListBullet1"/>
      </w:pPr>
      <w:r>
        <w:t>An end cap shall be installed at the end of the busbar run.</w:t>
      </w:r>
    </w:p>
    <w:p w14:paraId="702D3EAB" w14:textId="6888F96E" w:rsidR="00D76BC6" w:rsidRDefault="00D76BC6" w:rsidP="00D76BC6">
      <w:pPr>
        <w:pStyle w:val="ListBullet1"/>
      </w:pPr>
      <w:r>
        <w:t>As shown on the drawings elbow or tee connections may also be required.</w:t>
      </w:r>
    </w:p>
    <w:p w14:paraId="12CA1D69" w14:textId="4A72E4E7" w:rsidR="00D76BC6" w:rsidRDefault="00D76BC6" w:rsidP="00D76BC6">
      <w:pPr>
        <w:pStyle w:val="ListBullet1"/>
      </w:pPr>
      <w:r>
        <w:t>Maintain minimum clearances and workspace at equipment according to manufacturer's written instructions.</w:t>
      </w:r>
    </w:p>
    <w:p w14:paraId="6ED6FF36" w14:textId="2BC767F1" w:rsidR="00D76BC6" w:rsidRDefault="00D76BC6" w:rsidP="00D76BC6">
      <w:pPr>
        <w:pStyle w:val="ListBullet1"/>
      </w:pPr>
      <w:r>
        <w:t>Connections: Contractor shall make connections to supply circuits according to manufacturer's instructions and project drawings.</w:t>
      </w:r>
    </w:p>
    <w:p w14:paraId="195E75B5" w14:textId="05C34B76" w:rsidR="00D76BC6" w:rsidRDefault="00516526" w:rsidP="005B71AB">
      <w:pPr>
        <w:pStyle w:val="Heading2"/>
      </w:pPr>
      <w:r>
        <w:lastRenderedPageBreak/>
        <w:t>Field Quality Contro</w:t>
      </w:r>
      <w:r w:rsidR="005B71AB">
        <w:t>l</w:t>
      </w:r>
    </w:p>
    <w:p w14:paraId="601F1E79" w14:textId="77777777" w:rsidR="005B71AB" w:rsidRDefault="005B71AB" w:rsidP="005B71AB">
      <w:pPr>
        <w:pStyle w:val="Heading3"/>
      </w:pPr>
      <w:r>
        <w:t>Installing Contractor Inspections</w:t>
      </w:r>
    </w:p>
    <w:p w14:paraId="06DD4C1B" w14:textId="41B1E15A" w:rsidR="005B71AB" w:rsidRDefault="005B71AB" w:rsidP="005B71AB">
      <w:r>
        <w:t>Prepare inspection reports to include the following:</w:t>
      </w:r>
    </w:p>
    <w:p w14:paraId="72BD6805" w14:textId="64066C7A" w:rsidR="005B71AB" w:rsidRDefault="005B71AB" w:rsidP="005B71AB">
      <w:pPr>
        <w:pStyle w:val="ListBullet1"/>
      </w:pPr>
      <w:r>
        <w:t>Comply with manufacturer's written instructions.</w:t>
      </w:r>
    </w:p>
    <w:p w14:paraId="674C7B34" w14:textId="6FEA346B" w:rsidR="005B71AB" w:rsidRDefault="005B71AB" w:rsidP="005B71AB">
      <w:pPr>
        <w:pStyle w:val="ListBullet1"/>
      </w:pPr>
      <w:r>
        <w:t>Inspect interiors and exteriors of enclosures, including the following:</w:t>
      </w:r>
    </w:p>
    <w:p w14:paraId="7C1F6F9A" w14:textId="57F4AD6B" w:rsidR="005B71AB" w:rsidRDefault="005B71AB" w:rsidP="005B71AB">
      <w:pPr>
        <w:pStyle w:val="ListBullet2"/>
      </w:pPr>
      <w:r>
        <w:t>Integrity of mechanical and electrical connections.</w:t>
      </w:r>
    </w:p>
    <w:p w14:paraId="5D094E7F" w14:textId="2C8E1BED" w:rsidR="005B71AB" w:rsidRDefault="005B71AB" w:rsidP="005B71AB">
      <w:pPr>
        <w:pStyle w:val="ListBullet2"/>
      </w:pPr>
      <w:r>
        <w:t>Component type and labelling verification.</w:t>
      </w:r>
    </w:p>
    <w:p w14:paraId="3032A10B" w14:textId="55D5F38F" w:rsidR="005B71AB" w:rsidRDefault="005B71AB" w:rsidP="005B71AB">
      <w:pPr>
        <w:pStyle w:val="ListBullet2"/>
        <w:spacing w:after="240"/>
      </w:pPr>
      <w:r>
        <w:t>Ratings of installed components</w:t>
      </w:r>
    </w:p>
    <w:p w14:paraId="3DF52201" w14:textId="77777777" w:rsidR="005B71AB" w:rsidRDefault="005B71AB" w:rsidP="005B71AB">
      <w:pPr>
        <w:pStyle w:val="Heading3"/>
      </w:pPr>
      <w:r>
        <w:t>Infrared Scanning</w:t>
      </w:r>
    </w:p>
    <w:p w14:paraId="2D467981" w14:textId="68BAAA9F" w:rsidR="005B71AB" w:rsidRDefault="005B71AB" w:rsidP="005B71AB">
      <w:pPr>
        <w:pStyle w:val="ListBullet1"/>
      </w:pPr>
      <w:r>
        <w:t>After substantial completion, but not more than 60 days after final acceptance, perform an infrared scanning of each busway.</w:t>
      </w:r>
    </w:p>
    <w:p w14:paraId="03B00B6E" w14:textId="6F995896" w:rsidR="005B71AB" w:rsidRDefault="005B71AB" w:rsidP="005B71AB">
      <w:pPr>
        <w:pStyle w:val="ListBullet1"/>
      </w:pPr>
      <w:r>
        <w:t>Follow-up infrared scanning; perform an additional follow-up infrared scan of each busway six months after date of substantial completion but prior to final project close out.</w:t>
      </w:r>
    </w:p>
    <w:p w14:paraId="13B32BF8" w14:textId="11970626" w:rsidR="005B71AB" w:rsidRDefault="005B71AB" w:rsidP="005B71AB">
      <w:pPr>
        <w:pStyle w:val="ListBullet1"/>
      </w:pPr>
      <w:r>
        <w:t>Instrument: Use an infrared scanning device designed to measure temperature or the detect significant deviations from normal values. Provide calibration record for device.</w:t>
      </w:r>
    </w:p>
    <w:p w14:paraId="0BED941D" w14:textId="76780F4C" w:rsidR="005B71AB" w:rsidRPr="005B71AB" w:rsidRDefault="005B71AB" w:rsidP="005B71AB">
      <w:pPr>
        <w:pStyle w:val="ListBullet1"/>
      </w:pPr>
      <w:r>
        <w:t>Record of infrared scanning: prepare a certified report that identifies busways checked and describes scanning results. Include notation of deficiencies detected, remedial action taken, and observations after remedial action.</w:t>
      </w:r>
    </w:p>
    <w:sectPr w:rsidR="005B71AB" w:rsidRPr="005B71AB" w:rsidSect="00083127">
      <w:headerReference w:type="default" r:id="rId8"/>
      <w:footerReference w:type="default" r:id="rId9"/>
      <w:footerReference w:type="first" r:id="rId10"/>
      <w:pgSz w:w="11906" w:h="16838" w:code="9"/>
      <w:pgMar w:top="1440" w:right="1440" w:bottom="1440" w:left="144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C68E" w14:textId="77777777" w:rsidR="0068327D" w:rsidRDefault="0068327D" w:rsidP="00C02683">
      <w:pPr>
        <w:spacing w:after="0"/>
      </w:pPr>
      <w:r>
        <w:separator/>
      </w:r>
    </w:p>
  </w:endnote>
  <w:endnote w:type="continuationSeparator" w:id="0">
    <w:p w14:paraId="36ECF9CF" w14:textId="77777777" w:rsidR="0068327D" w:rsidRDefault="0068327D" w:rsidP="00C02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e Medium">
    <w:panose1 w:val="020B0603030202060203"/>
    <w:charset w:val="00"/>
    <w:family w:val="swiss"/>
    <w:notTrueType/>
    <w:pitch w:val="variable"/>
    <w:sig w:usb0="00000007" w:usb1="00000000" w:usb2="00000000" w:usb3="00000000" w:csb0="00000093" w:csb1="00000000"/>
  </w:font>
  <w:font w:name="Times-Roma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libre-Bold">
    <w:panose1 w:val="020B0803030202060203"/>
    <w:charset w:val="00"/>
    <w:family w:val="auto"/>
    <w:pitch w:val="variable"/>
    <w:sig w:usb0="00000007" w:usb1="00000000" w:usb2="00000000" w:usb3="00000000" w:csb0="00000093" w:csb1="00000000"/>
  </w:font>
  <w:font w:name="Calibre-Light">
    <w:altName w:val="Calibre Light"/>
    <w:panose1 w:val="020B0303030202060203"/>
    <w:charset w:val="00"/>
    <w:family w:val="auto"/>
    <w:pitch w:val="variable"/>
    <w:sig w:usb0="00000007" w:usb1="00000000" w:usb2="00000000" w:usb3="00000000" w:csb0="00000093" w:csb1="00000000"/>
  </w:font>
  <w:font w:name="Calibre-Semibold">
    <w:altName w:val="Calibre Semibold"/>
    <w:panose1 w:val="020B0703030202060203"/>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e-LightItalic">
    <w:panose1 w:val="020B03030302020D0203"/>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4FF7" w14:textId="117BE4C5" w:rsidR="00B57DC5" w:rsidRDefault="00B57DC5" w:rsidP="00A828AC">
    <w:pPr>
      <w:pStyle w:val="Footer"/>
      <w:spacing w:after="0"/>
      <w:rPr>
        <w:noProof/>
      </w:rPr>
    </w:pPr>
    <w:r w:rsidRPr="00B70718">
      <w:rPr>
        <w:vanish/>
      </w:rPr>
      <w:t>REV</w:t>
    </w:r>
    <w:r w:rsidR="00B70718" w:rsidRPr="00B70718">
      <w:rPr>
        <w:vanish/>
      </w:rPr>
      <w:t>A</w:t>
    </w:r>
    <w:r w:rsidRPr="00B70718">
      <w:rPr>
        <w:vanish/>
      </w:rPr>
      <w:t>_</w:t>
    </w:r>
    <w:r w:rsidR="00B70718" w:rsidRPr="00B70718">
      <w:rPr>
        <w:vanish/>
      </w:rPr>
      <w:t>02-222</w:t>
    </w:r>
    <w:r>
      <w:tab/>
    </w:r>
    <w:sdt>
      <w:sdtPr>
        <w:id w:val="-12272966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r>
        <w:r>
          <w:t>Guide Specifications</w:t>
        </w:r>
      </w:sdtContent>
    </w:sdt>
  </w:p>
  <w:p w14:paraId="668659B8" w14:textId="59938A3B" w:rsidR="00192E46" w:rsidRDefault="00192E46" w:rsidP="00192E46">
    <w:pPr>
      <w:pStyle w:val="Footer"/>
      <w:jc w:val="center"/>
    </w:pPr>
    <w:r w:rsidRPr="00192E46">
      <w:t xml:space="preserve">Proprietary and Confidential </w:t>
    </w:r>
    <w:r w:rsidR="004779BD" w:rsidRPr="00192E46">
      <w:t>©</w:t>
    </w:r>
    <w:r w:rsidR="004779BD">
      <w:fldChar w:fldCharType="begin"/>
    </w:r>
    <w:r w:rsidR="004779BD">
      <w:instrText xml:space="preserve"> DATE  \@ "yyyy"  \* MERGEFORMAT </w:instrText>
    </w:r>
    <w:r w:rsidR="004779BD">
      <w:fldChar w:fldCharType="separate"/>
    </w:r>
    <w:r w:rsidR="00123AF5">
      <w:rPr>
        <w:noProof/>
      </w:rPr>
      <w:t>2022</w:t>
    </w:r>
    <w:r w:rsidR="004779BD">
      <w:fldChar w:fldCharType="end"/>
    </w:r>
    <w:r w:rsidRPr="00192E46">
      <w:t xml:space="preserve"> Vertiv Group Corp.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4DCA" w14:textId="77777777" w:rsidR="00B70718" w:rsidRDefault="00B70718" w:rsidP="00B70718">
    <w:pPr>
      <w:pStyle w:val="Footer"/>
      <w:spacing w:after="0"/>
      <w:rPr>
        <w:noProof/>
      </w:rPr>
    </w:pPr>
    <w:r w:rsidRPr="00B70718">
      <w:rPr>
        <w:vanish/>
      </w:rPr>
      <w:t>REVA_02-222</w:t>
    </w:r>
    <w:r>
      <w:tab/>
    </w:r>
    <w:sdt>
      <w:sdtPr>
        <w:id w:val="16409229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ab/>
        </w:r>
        <w:r>
          <w:t>Guide Specifications</w:t>
        </w:r>
      </w:sdtContent>
    </w:sdt>
  </w:p>
  <w:p w14:paraId="0FB341CB" w14:textId="49A77775" w:rsidR="00C02683" w:rsidRPr="00B70718" w:rsidRDefault="00B70718" w:rsidP="00B70718">
    <w:pPr>
      <w:pStyle w:val="Footer"/>
      <w:jc w:val="center"/>
    </w:pPr>
    <w:r w:rsidRPr="00192E46">
      <w:t>Proprietary and Confidential ©</w:t>
    </w:r>
    <w:r w:rsidR="004779BD">
      <w:fldChar w:fldCharType="begin"/>
    </w:r>
    <w:r w:rsidR="004779BD">
      <w:instrText xml:space="preserve"> DATE  \@ "yyyy"  \* MERGEFORMAT </w:instrText>
    </w:r>
    <w:r w:rsidR="004779BD">
      <w:fldChar w:fldCharType="separate"/>
    </w:r>
    <w:r w:rsidR="00123AF5">
      <w:rPr>
        <w:noProof/>
      </w:rPr>
      <w:t>2022</w:t>
    </w:r>
    <w:r w:rsidR="004779BD">
      <w:fldChar w:fldCharType="end"/>
    </w:r>
    <w:r w:rsidR="004779BD">
      <w:t xml:space="preserve"> </w:t>
    </w:r>
    <w:r w:rsidRPr="00192E46">
      <w:t>Vertiv Group Corp.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814A" w14:textId="77777777" w:rsidR="0068327D" w:rsidRDefault="0068327D" w:rsidP="00C02683">
      <w:pPr>
        <w:spacing w:after="0"/>
      </w:pPr>
      <w:r>
        <w:separator/>
      </w:r>
    </w:p>
  </w:footnote>
  <w:footnote w:type="continuationSeparator" w:id="0">
    <w:p w14:paraId="4E53D959" w14:textId="77777777" w:rsidR="0068327D" w:rsidRDefault="0068327D" w:rsidP="00C02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04EA" w14:textId="48A7E17F" w:rsidR="00B57DC5" w:rsidRDefault="00A83098" w:rsidP="00A83098">
    <w:pPr>
      <w:pStyle w:val="Header"/>
      <w:spacing w:before="240" w:after="0"/>
      <w:rPr>
        <w:rFonts w:ascii="Calibre Medium" w:hAnsi="Calibre Medium"/>
        <w:b w:val="0"/>
        <w:bCs/>
      </w:rPr>
    </w:pPr>
    <w:r w:rsidRPr="00A83098">
      <w:rPr>
        <w:rFonts w:ascii="Calibre Medium" w:hAnsi="Calibre Medium"/>
        <w:b w:val="0"/>
        <w:bCs/>
      </w:rPr>
      <w:t>Open Channel Busbar/Busway System</w:t>
    </w:r>
    <w:r w:rsidR="00806F04">
      <w:rPr>
        <w:rFonts w:ascii="Calibre Medium" w:hAnsi="Calibre Medium"/>
        <w:b w:val="0"/>
        <w:bCs/>
      </w:rPr>
      <w:t xml:space="preserve"> </w:t>
    </w:r>
    <w:r w:rsidR="008007AE">
      <w:rPr>
        <w:rFonts w:ascii="Calibre Medium" w:hAnsi="Calibre Medium"/>
        <w:b w:val="0"/>
        <w:bCs/>
      </w:rPr>
      <w:t>UL</w:t>
    </w:r>
  </w:p>
  <w:p w14:paraId="7ECB911F" w14:textId="367FC568" w:rsidR="00A83098" w:rsidRPr="00A83098" w:rsidRDefault="00A83098" w:rsidP="00A83098">
    <w:pPr>
      <w:pStyle w:val="Header"/>
      <w:spacing w:after="0"/>
      <w:rPr>
        <w:rFonts w:ascii="Calibre Medium" w:hAnsi="Calibre Medium"/>
      </w:rPr>
    </w:pPr>
    <w:r w:rsidRPr="00A83098">
      <w:rPr>
        <w:rFonts w:ascii="Calibre Medium" w:hAnsi="Calibre Medium"/>
        <w:b w:val="0"/>
        <w:bCs/>
      </w:rPr>
      <w:t>Guide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244F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A1473"/>
    <w:multiLevelType w:val="hybridMultilevel"/>
    <w:tmpl w:val="F962F01C"/>
    <w:lvl w:ilvl="0" w:tplc="91389126">
      <w:start w:val="1"/>
      <w:numFmt w:val="bullet"/>
      <w:pStyle w:val="ListBullet1"/>
      <w:lvlText w:val=""/>
      <w:lvlJc w:val="left"/>
      <w:pPr>
        <w:ind w:left="1077" w:hanging="360"/>
      </w:pPr>
      <w:rPr>
        <w:rFonts w:ascii="Symbol" w:hAnsi="Symbol" w:hint="default"/>
      </w:rPr>
    </w:lvl>
    <w:lvl w:ilvl="1" w:tplc="F454D8C8">
      <w:start w:val="1"/>
      <w:numFmt w:val="bullet"/>
      <w:pStyle w:val="ListBullet2"/>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26D05DA"/>
    <w:multiLevelType w:val="hybridMultilevel"/>
    <w:tmpl w:val="E1EE285C"/>
    <w:lvl w:ilvl="0" w:tplc="CF6CD896">
      <w:start w:val="1"/>
      <w:numFmt w:val="decimal"/>
      <w:pStyle w:val="ListNumbered"/>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0699"/>
    <w:multiLevelType w:val="hybridMultilevel"/>
    <w:tmpl w:val="B07C24AE"/>
    <w:lvl w:ilvl="0" w:tplc="107A867C">
      <w:start w:val="1"/>
      <w:numFmt w:val="decimal"/>
      <w:pStyle w:val="Heading5"/>
      <w:lvlText w:val="%1."/>
      <w:lvlJc w:val="left"/>
      <w:pPr>
        <w:ind w:left="587" w:hanging="360"/>
      </w:pPr>
      <w:rPr>
        <w:rFonts w:hint="default"/>
      </w:rPr>
    </w:lvl>
    <w:lvl w:ilvl="1" w:tplc="40090019" w:tentative="1">
      <w:start w:val="1"/>
      <w:numFmt w:val="lowerLetter"/>
      <w:lvlText w:val="%2."/>
      <w:lvlJc w:val="left"/>
      <w:pPr>
        <w:ind w:left="2064" w:hanging="360"/>
      </w:pPr>
    </w:lvl>
    <w:lvl w:ilvl="2" w:tplc="4009001B" w:tentative="1">
      <w:start w:val="1"/>
      <w:numFmt w:val="lowerRoman"/>
      <w:lvlText w:val="%3."/>
      <w:lvlJc w:val="right"/>
      <w:pPr>
        <w:ind w:left="2784" w:hanging="180"/>
      </w:pPr>
    </w:lvl>
    <w:lvl w:ilvl="3" w:tplc="4009000F" w:tentative="1">
      <w:start w:val="1"/>
      <w:numFmt w:val="decimal"/>
      <w:lvlText w:val="%4."/>
      <w:lvlJc w:val="left"/>
      <w:pPr>
        <w:ind w:left="3504" w:hanging="360"/>
      </w:pPr>
    </w:lvl>
    <w:lvl w:ilvl="4" w:tplc="40090019" w:tentative="1">
      <w:start w:val="1"/>
      <w:numFmt w:val="lowerLetter"/>
      <w:lvlText w:val="%5."/>
      <w:lvlJc w:val="left"/>
      <w:pPr>
        <w:ind w:left="4224" w:hanging="360"/>
      </w:pPr>
    </w:lvl>
    <w:lvl w:ilvl="5" w:tplc="4009001B" w:tentative="1">
      <w:start w:val="1"/>
      <w:numFmt w:val="lowerRoman"/>
      <w:lvlText w:val="%6."/>
      <w:lvlJc w:val="right"/>
      <w:pPr>
        <w:ind w:left="4944" w:hanging="180"/>
      </w:pPr>
    </w:lvl>
    <w:lvl w:ilvl="6" w:tplc="4009000F" w:tentative="1">
      <w:start w:val="1"/>
      <w:numFmt w:val="decimal"/>
      <w:lvlText w:val="%7."/>
      <w:lvlJc w:val="left"/>
      <w:pPr>
        <w:ind w:left="5664" w:hanging="360"/>
      </w:pPr>
    </w:lvl>
    <w:lvl w:ilvl="7" w:tplc="40090019" w:tentative="1">
      <w:start w:val="1"/>
      <w:numFmt w:val="lowerLetter"/>
      <w:lvlText w:val="%8."/>
      <w:lvlJc w:val="left"/>
      <w:pPr>
        <w:ind w:left="6384" w:hanging="360"/>
      </w:pPr>
    </w:lvl>
    <w:lvl w:ilvl="8" w:tplc="4009001B" w:tentative="1">
      <w:start w:val="1"/>
      <w:numFmt w:val="lowerRoman"/>
      <w:lvlText w:val="%9."/>
      <w:lvlJc w:val="right"/>
      <w:pPr>
        <w:ind w:left="7104" w:hanging="180"/>
      </w:pPr>
    </w:lvl>
  </w:abstractNum>
  <w:abstractNum w:abstractNumId="4" w15:restartNumberingAfterBreak="0">
    <w:nsid w:val="35845556"/>
    <w:multiLevelType w:val="hybridMultilevel"/>
    <w:tmpl w:val="0DACE4A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 w15:restartNumberingAfterBreak="0">
    <w:nsid w:val="458079B9"/>
    <w:multiLevelType w:val="hybridMultilevel"/>
    <w:tmpl w:val="49E2CB30"/>
    <w:lvl w:ilvl="0" w:tplc="D4147D2A">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 w15:restartNumberingAfterBreak="0">
    <w:nsid w:val="4CD4153C"/>
    <w:multiLevelType w:val="hybridMultilevel"/>
    <w:tmpl w:val="8E7821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E89683F"/>
    <w:multiLevelType w:val="hybridMultilevel"/>
    <w:tmpl w:val="63DEB634"/>
    <w:lvl w:ilvl="0" w:tplc="BB94A71C">
      <w:start w:val="1"/>
      <w:numFmt w:val="lowerLetter"/>
      <w:pStyle w:val="ListNumberedAlpha"/>
      <w:lvlText w:val="%1."/>
      <w:lvlJc w:val="left"/>
      <w:pPr>
        <w:ind w:left="128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61153593"/>
    <w:multiLevelType w:val="multilevel"/>
    <w:tmpl w:val="791A7FE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2151BAF"/>
    <w:multiLevelType w:val="multilevel"/>
    <w:tmpl w:val="297AA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EE342F"/>
    <w:multiLevelType w:val="hybridMultilevel"/>
    <w:tmpl w:val="4D4270A0"/>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1" w15:restartNumberingAfterBreak="0">
    <w:nsid w:val="75B43AF0"/>
    <w:multiLevelType w:val="hybridMultilevel"/>
    <w:tmpl w:val="B85E8F0E"/>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 w15:restartNumberingAfterBreak="0">
    <w:nsid w:val="76806073"/>
    <w:multiLevelType w:val="hybridMultilevel"/>
    <w:tmpl w:val="DAD4B7EC"/>
    <w:lvl w:ilvl="0" w:tplc="9D206A86">
      <w:start w:val="1"/>
      <w:numFmt w:val="decimal"/>
      <w:pStyle w:val="FigureCaption"/>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2"/>
  </w:num>
  <w:num w:numId="22">
    <w:abstractNumId w:val="7"/>
  </w:num>
  <w:num w:numId="23">
    <w:abstractNumId w:val="1"/>
  </w:num>
  <w:num w:numId="24">
    <w:abstractNumId w:val="5"/>
  </w:num>
  <w:num w:numId="25">
    <w:abstractNumId w:val="12"/>
  </w:num>
  <w:num w:numId="26">
    <w:abstractNumId w:val="4"/>
  </w:num>
  <w:num w:numId="27">
    <w:abstractNumId w:val="3"/>
  </w:num>
  <w:num w:numId="28">
    <w:abstractNumId w:val="6"/>
  </w:num>
  <w:num w:numId="29">
    <w:abstractNumId w:val="11"/>
  </w:num>
  <w:num w:numId="30">
    <w:abstractNumId w:val="10"/>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8B"/>
    <w:rsid w:val="00044B28"/>
    <w:rsid w:val="0007085A"/>
    <w:rsid w:val="00083127"/>
    <w:rsid w:val="00084BAE"/>
    <w:rsid w:val="000E5D0D"/>
    <w:rsid w:val="00123AF5"/>
    <w:rsid w:val="00156432"/>
    <w:rsid w:val="00163056"/>
    <w:rsid w:val="00166338"/>
    <w:rsid w:val="00192E46"/>
    <w:rsid w:val="001B3619"/>
    <w:rsid w:val="001C5AC7"/>
    <w:rsid w:val="002570FB"/>
    <w:rsid w:val="002B6E38"/>
    <w:rsid w:val="002F6DA3"/>
    <w:rsid w:val="0032144B"/>
    <w:rsid w:val="00324D84"/>
    <w:rsid w:val="00360678"/>
    <w:rsid w:val="003716EC"/>
    <w:rsid w:val="00387BD2"/>
    <w:rsid w:val="003A19FC"/>
    <w:rsid w:val="003B0E8B"/>
    <w:rsid w:val="003E1911"/>
    <w:rsid w:val="00444A44"/>
    <w:rsid w:val="00467637"/>
    <w:rsid w:val="004779BD"/>
    <w:rsid w:val="004B7723"/>
    <w:rsid w:val="005060D6"/>
    <w:rsid w:val="00506DE0"/>
    <w:rsid w:val="00516526"/>
    <w:rsid w:val="005B71AB"/>
    <w:rsid w:val="00602F66"/>
    <w:rsid w:val="00616203"/>
    <w:rsid w:val="00673877"/>
    <w:rsid w:val="0068327D"/>
    <w:rsid w:val="0068748F"/>
    <w:rsid w:val="00693AFF"/>
    <w:rsid w:val="006A7B48"/>
    <w:rsid w:val="006D0E21"/>
    <w:rsid w:val="006E2F81"/>
    <w:rsid w:val="00707A89"/>
    <w:rsid w:val="0079335B"/>
    <w:rsid w:val="007A0417"/>
    <w:rsid w:val="007E7A3C"/>
    <w:rsid w:val="007F56AC"/>
    <w:rsid w:val="008007AE"/>
    <w:rsid w:val="00806F04"/>
    <w:rsid w:val="0084163C"/>
    <w:rsid w:val="00842610"/>
    <w:rsid w:val="00874AF0"/>
    <w:rsid w:val="00893EF9"/>
    <w:rsid w:val="008A3CCF"/>
    <w:rsid w:val="008E0F75"/>
    <w:rsid w:val="00934AD0"/>
    <w:rsid w:val="00937041"/>
    <w:rsid w:val="00945A8B"/>
    <w:rsid w:val="009B02A6"/>
    <w:rsid w:val="009C4054"/>
    <w:rsid w:val="009C6B95"/>
    <w:rsid w:val="00A05870"/>
    <w:rsid w:val="00A73C33"/>
    <w:rsid w:val="00A74CEF"/>
    <w:rsid w:val="00A828AC"/>
    <w:rsid w:val="00A83098"/>
    <w:rsid w:val="00A87B07"/>
    <w:rsid w:val="00AC7331"/>
    <w:rsid w:val="00B01D98"/>
    <w:rsid w:val="00B06210"/>
    <w:rsid w:val="00B143E1"/>
    <w:rsid w:val="00B26C07"/>
    <w:rsid w:val="00B37991"/>
    <w:rsid w:val="00B57DC5"/>
    <w:rsid w:val="00B64DA5"/>
    <w:rsid w:val="00B70718"/>
    <w:rsid w:val="00B8541F"/>
    <w:rsid w:val="00BC496F"/>
    <w:rsid w:val="00BE5A15"/>
    <w:rsid w:val="00C02683"/>
    <w:rsid w:val="00C7375D"/>
    <w:rsid w:val="00CA398A"/>
    <w:rsid w:val="00CA77ED"/>
    <w:rsid w:val="00CB541E"/>
    <w:rsid w:val="00CD73B7"/>
    <w:rsid w:val="00CE2493"/>
    <w:rsid w:val="00CF17CA"/>
    <w:rsid w:val="00D3251D"/>
    <w:rsid w:val="00D34667"/>
    <w:rsid w:val="00D76BC6"/>
    <w:rsid w:val="00D819F7"/>
    <w:rsid w:val="00DC47E4"/>
    <w:rsid w:val="00DF6C4D"/>
    <w:rsid w:val="00E26EBD"/>
    <w:rsid w:val="00E30224"/>
    <w:rsid w:val="00E459B0"/>
    <w:rsid w:val="00E674BC"/>
    <w:rsid w:val="00E845E4"/>
    <w:rsid w:val="00EC50CB"/>
    <w:rsid w:val="00ED0CCD"/>
    <w:rsid w:val="00EF4B2A"/>
    <w:rsid w:val="00F0035D"/>
    <w:rsid w:val="00F1537A"/>
    <w:rsid w:val="00F16C4C"/>
    <w:rsid w:val="00F83CC6"/>
    <w:rsid w:val="00F859A3"/>
    <w:rsid w:val="00FA4704"/>
    <w:rsid w:val="00FD20AE"/>
    <w:rsid w:val="00FD41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CAAC1B"/>
  <w15:chartTrackingRefBased/>
  <w15:docId w15:val="{5FF7ADE2-5682-4C77-B38F-BA65FC4F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911"/>
    <w:pPr>
      <w:widowControl w:val="0"/>
      <w:spacing w:after="240" w:line="240" w:lineRule="auto"/>
      <w:ind w:left="562"/>
    </w:pPr>
    <w:rPr>
      <w:rFonts w:asciiTheme="majorHAnsi" w:eastAsiaTheme="minorEastAsia" w:hAnsiTheme="majorHAnsi"/>
      <w:color w:val="0D0D0D" w:themeColor="text1" w:themeTint="F2"/>
      <w:szCs w:val="24"/>
      <w:lang w:val="en-GB"/>
    </w:rPr>
  </w:style>
  <w:style w:type="paragraph" w:styleId="Heading1">
    <w:name w:val="heading 1"/>
    <w:aliases w:val="Chapter"/>
    <w:basedOn w:val="Normal"/>
    <w:next w:val="Normal"/>
    <w:link w:val="Heading1Char"/>
    <w:uiPriority w:val="9"/>
    <w:qFormat/>
    <w:rsid w:val="00B01D98"/>
    <w:pPr>
      <w:keepNext/>
      <w:keepLines/>
      <w:numPr>
        <w:numId w:val="20"/>
      </w:numPr>
      <w:ind w:left="0" w:firstLine="0"/>
      <w:jc w:val="center"/>
      <w:outlineLvl w:val="0"/>
    </w:pPr>
    <w:rPr>
      <w:rFonts w:ascii="Calibre Medium" w:eastAsiaTheme="majorEastAsia" w:hAnsi="Calibre Medium" w:cstheme="majorBidi"/>
      <w:bCs/>
      <w:caps/>
      <w:sz w:val="28"/>
      <w:szCs w:val="28"/>
    </w:rPr>
  </w:style>
  <w:style w:type="paragraph" w:styleId="Heading2">
    <w:name w:val="heading 2"/>
    <w:basedOn w:val="Normal"/>
    <w:next w:val="Normal"/>
    <w:link w:val="Heading2Char"/>
    <w:uiPriority w:val="9"/>
    <w:unhideWhenUsed/>
    <w:qFormat/>
    <w:rsid w:val="00A73C33"/>
    <w:pPr>
      <w:keepNext/>
      <w:numPr>
        <w:ilvl w:val="1"/>
        <w:numId w:val="20"/>
      </w:numPr>
      <w:outlineLvl w:val="1"/>
    </w:pPr>
    <w:rPr>
      <w:rFonts w:ascii="Calibre Medium" w:eastAsiaTheme="majorEastAsia" w:hAnsi="Calibre Medium" w:cstheme="majorBidi"/>
      <w:sz w:val="24"/>
      <w:szCs w:val="26"/>
    </w:rPr>
  </w:style>
  <w:style w:type="paragraph" w:styleId="Heading3">
    <w:name w:val="heading 3"/>
    <w:basedOn w:val="Normal"/>
    <w:next w:val="Normal"/>
    <w:link w:val="Heading3Char"/>
    <w:uiPriority w:val="9"/>
    <w:unhideWhenUsed/>
    <w:qFormat/>
    <w:rsid w:val="00A73C33"/>
    <w:pPr>
      <w:keepNext/>
      <w:numPr>
        <w:ilvl w:val="2"/>
        <w:numId w:val="20"/>
      </w:numPr>
      <w:ind w:left="576" w:hanging="576"/>
      <w:outlineLvl w:val="2"/>
    </w:pPr>
    <w:rPr>
      <w:rFonts w:ascii="Calibre Medium" w:eastAsiaTheme="majorEastAsia" w:hAnsi="Calibre Medium" w:cstheme="majorBidi"/>
      <w:bCs/>
    </w:rPr>
  </w:style>
  <w:style w:type="paragraph" w:styleId="Heading4">
    <w:name w:val="heading 4"/>
    <w:basedOn w:val="Normal"/>
    <w:next w:val="Normal"/>
    <w:link w:val="Heading4Char"/>
    <w:uiPriority w:val="9"/>
    <w:unhideWhenUsed/>
    <w:rsid w:val="00A87B07"/>
    <w:pPr>
      <w:keepNext/>
      <w:keepLines/>
      <w:ind w:left="0" w:firstLine="578"/>
      <w:outlineLvl w:val="3"/>
    </w:pPr>
    <w:rPr>
      <w:rFonts w:eastAsiaTheme="majorEastAsia" w:cstheme="majorBidi"/>
      <w:b/>
      <w:bCs/>
      <w:iCs/>
      <w:color w:val="auto"/>
    </w:rPr>
  </w:style>
  <w:style w:type="paragraph" w:styleId="Heading5">
    <w:name w:val="heading 5"/>
    <w:aliases w:val="Numbering After Heading 4"/>
    <w:basedOn w:val="Normal"/>
    <w:next w:val="Normal"/>
    <w:link w:val="Heading5Char"/>
    <w:uiPriority w:val="9"/>
    <w:unhideWhenUsed/>
    <w:qFormat/>
    <w:rsid w:val="00A87B07"/>
    <w:pPr>
      <w:keepNext/>
      <w:keepLines/>
      <w:numPr>
        <w:numId w:val="27"/>
      </w:numPr>
      <w:ind w:left="964" w:hanging="397"/>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7A0417"/>
    <w:pPr>
      <w:keepNext/>
      <w:keepLines/>
      <w:numPr>
        <w:ilvl w:val="5"/>
        <w:numId w:val="20"/>
      </w:numPr>
      <w:spacing w:before="200"/>
      <w:outlineLvl w:val="5"/>
    </w:pPr>
    <w:rPr>
      <w:rFonts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7A0417"/>
    <w:pPr>
      <w:keepNext/>
      <w:keepLines/>
      <w:numPr>
        <w:ilvl w:val="6"/>
        <w:numId w:val="20"/>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A0417"/>
    <w:pPr>
      <w:keepNext/>
      <w:keepLines/>
      <w:numPr>
        <w:ilvl w:val="7"/>
        <w:numId w:val="20"/>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A0417"/>
    <w:pPr>
      <w:keepNext/>
      <w:keepLines/>
      <w:numPr>
        <w:ilvl w:val="8"/>
        <w:numId w:val="20"/>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A0417"/>
    <w:pPr>
      <w:autoSpaceDE w:val="0"/>
      <w:autoSpaceDN w:val="0"/>
      <w:adjustRightInd w:val="0"/>
      <w:spacing w:line="288" w:lineRule="auto"/>
      <w:textAlignment w:val="center"/>
    </w:pPr>
    <w:rPr>
      <w:rFonts w:ascii="Times-Roman" w:eastAsiaTheme="minorHAnsi" w:hAnsi="Times-Roman" w:cs="Times-Roman"/>
      <w:color w:val="000000"/>
    </w:rPr>
  </w:style>
  <w:style w:type="paragraph" w:customStyle="1" w:styleId="ListNumbered">
    <w:name w:val="List Numbered"/>
    <w:basedOn w:val="Normal"/>
    <w:next w:val="Normal"/>
    <w:autoRedefine/>
    <w:rsid w:val="00707A89"/>
    <w:pPr>
      <w:keepNext/>
      <w:keepLines/>
      <w:numPr>
        <w:numId w:val="21"/>
      </w:numPr>
      <w:suppressAutoHyphens/>
      <w:ind w:left="851" w:hanging="284"/>
    </w:pPr>
    <w:rPr>
      <w:lang w:val="en-US"/>
    </w:rPr>
  </w:style>
  <w:style w:type="paragraph" w:styleId="BalloonText">
    <w:name w:val="Balloon Text"/>
    <w:basedOn w:val="Normal"/>
    <w:link w:val="BalloonTextChar"/>
    <w:uiPriority w:val="99"/>
    <w:semiHidden/>
    <w:unhideWhenUsed/>
    <w:rsid w:val="007A0417"/>
    <w:rPr>
      <w:rFonts w:ascii="Tahoma" w:hAnsi="Tahoma" w:cs="Tahoma"/>
      <w:sz w:val="16"/>
      <w:szCs w:val="16"/>
    </w:rPr>
  </w:style>
  <w:style w:type="character" w:customStyle="1" w:styleId="BalloonTextChar">
    <w:name w:val="Balloon Text Char"/>
    <w:basedOn w:val="DefaultParagraphFont"/>
    <w:link w:val="BalloonText"/>
    <w:uiPriority w:val="99"/>
    <w:semiHidden/>
    <w:rsid w:val="007A0417"/>
    <w:rPr>
      <w:rFonts w:ascii="Tahoma" w:eastAsiaTheme="minorEastAsia" w:hAnsi="Tahoma" w:cs="Tahoma"/>
      <w:color w:val="4D4D4D"/>
      <w:sz w:val="16"/>
      <w:szCs w:val="16"/>
      <w:lang w:val="en-GB"/>
    </w:rPr>
  </w:style>
  <w:style w:type="character" w:styleId="BookTitle">
    <w:name w:val="Book Title"/>
    <w:basedOn w:val="DefaultParagraphFont"/>
    <w:uiPriority w:val="33"/>
    <w:rsid w:val="007A0417"/>
    <w:rPr>
      <w:b/>
      <w:bCs/>
      <w:smallCaps/>
      <w:spacing w:val="5"/>
    </w:rPr>
  </w:style>
  <w:style w:type="paragraph" w:styleId="Caption">
    <w:name w:val="caption"/>
    <w:basedOn w:val="Normal"/>
    <w:next w:val="Normal"/>
    <w:uiPriority w:val="35"/>
    <w:unhideWhenUsed/>
    <w:qFormat/>
    <w:rsid w:val="007A0417"/>
    <w:pPr>
      <w:spacing w:before="200" w:after="200"/>
      <w:jc w:val="center"/>
    </w:pPr>
    <w:rPr>
      <w:b/>
      <w:bCs/>
      <w:sz w:val="18"/>
      <w:szCs w:val="18"/>
    </w:rPr>
  </w:style>
  <w:style w:type="character" w:styleId="CommentReference">
    <w:name w:val="annotation reference"/>
    <w:basedOn w:val="DefaultParagraphFont"/>
    <w:uiPriority w:val="99"/>
    <w:semiHidden/>
    <w:unhideWhenUsed/>
    <w:rsid w:val="007A0417"/>
    <w:rPr>
      <w:sz w:val="16"/>
      <w:szCs w:val="16"/>
    </w:rPr>
  </w:style>
  <w:style w:type="paragraph" w:styleId="CommentText">
    <w:name w:val="annotation text"/>
    <w:basedOn w:val="Normal"/>
    <w:link w:val="CommentTextChar"/>
    <w:uiPriority w:val="99"/>
    <w:semiHidden/>
    <w:unhideWhenUsed/>
    <w:rsid w:val="007A0417"/>
    <w:rPr>
      <w:szCs w:val="20"/>
    </w:rPr>
  </w:style>
  <w:style w:type="character" w:customStyle="1" w:styleId="CommentTextChar">
    <w:name w:val="Comment Text Char"/>
    <w:basedOn w:val="DefaultParagraphFont"/>
    <w:link w:val="CommentText"/>
    <w:uiPriority w:val="99"/>
    <w:semiHidden/>
    <w:rsid w:val="007A0417"/>
    <w:rPr>
      <w:rFonts w:ascii="Arial" w:eastAsiaTheme="minorEastAsia" w:hAnsi="Arial"/>
      <w:color w:val="4D4D4D"/>
      <w:sz w:val="20"/>
      <w:szCs w:val="20"/>
      <w:lang w:val="en-GB"/>
    </w:rPr>
  </w:style>
  <w:style w:type="paragraph" w:styleId="CommentSubject">
    <w:name w:val="annotation subject"/>
    <w:basedOn w:val="CommentText"/>
    <w:next w:val="CommentText"/>
    <w:link w:val="CommentSubjectChar"/>
    <w:uiPriority w:val="99"/>
    <w:semiHidden/>
    <w:unhideWhenUsed/>
    <w:rsid w:val="007A0417"/>
    <w:rPr>
      <w:b/>
      <w:bCs/>
    </w:rPr>
  </w:style>
  <w:style w:type="character" w:customStyle="1" w:styleId="CommentSubjectChar">
    <w:name w:val="Comment Subject Char"/>
    <w:basedOn w:val="CommentTextChar"/>
    <w:link w:val="CommentSubject"/>
    <w:uiPriority w:val="99"/>
    <w:semiHidden/>
    <w:rsid w:val="007A0417"/>
    <w:rPr>
      <w:rFonts w:ascii="Arial" w:eastAsiaTheme="minorEastAsia" w:hAnsi="Arial"/>
      <w:b/>
      <w:bCs/>
      <w:color w:val="4D4D4D"/>
      <w:sz w:val="20"/>
      <w:szCs w:val="20"/>
      <w:lang w:val="en-GB"/>
    </w:rPr>
  </w:style>
  <w:style w:type="character" w:styleId="Emphasis">
    <w:name w:val="Emphasis"/>
    <w:aliases w:val="Srednji naslov"/>
    <w:basedOn w:val="DefaultParagraphFont"/>
    <w:uiPriority w:val="20"/>
    <w:qFormat/>
    <w:rsid w:val="007A0417"/>
    <w:rPr>
      <w:rFonts w:ascii="Arial" w:hAnsi="Arial"/>
      <w:b/>
      <w:i w:val="0"/>
      <w:iCs/>
      <w:caps/>
      <w:smallCaps w:val="0"/>
      <w:color w:val="FF8C00"/>
      <w:sz w:val="28"/>
    </w:rPr>
  </w:style>
  <w:style w:type="character" w:styleId="EndnoteReference">
    <w:name w:val="endnote reference"/>
    <w:basedOn w:val="DefaultParagraphFont"/>
    <w:uiPriority w:val="99"/>
    <w:semiHidden/>
    <w:unhideWhenUsed/>
    <w:rsid w:val="007A0417"/>
    <w:rPr>
      <w:vertAlign w:val="superscript"/>
    </w:rPr>
  </w:style>
  <w:style w:type="paragraph" w:styleId="EndnoteText">
    <w:name w:val="endnote text"/>
    <w:basedOn w:val="Normal"/>
    <w:link w:val="EndnoteTextChar"/>
    <w:uiPriority w:val="99"/>
    <w:semiHidden/>
    <w:unhideWhenUsed/>
    <w:rsid w:val="007A0417"/>
    <w:rPr>
      <w:szCs w:val="20"/>
    </w:rPr>
  </w:style>
  <w:style w:type="character" w:customStyle="1" w:styleId="EndnoteTextChar">
    <w:name w:val="Endnote Text Char"/>
    <w:basedOn w:val="DefaultParagraphFont"/>
    <w:link w:val="EndnoteText"/>
    <w:uiPriority w:val="99"/>
    <w:semiHidden/>
    <w:rsid w:val="007A0417"/>
    <w:rPr>
      <w:rFonts w:ascii="Arial" w:eastAsiaTheme="minorEastAsia" w:hAnsi="Arial"/>
      <w:color w:val="4D4D4D"/>
      <w:sz w:val="20"/>
      <w:szCs w:val="20"/>
      <w:lang w:val="en-GB"/>
    </w:rPr>
  </w:style>
  <w:style w:type="character" w:styleId="FollowedHyperlink">
    <w:name w:val="FollowedHyperlink"/>
    <w:basedOn w:val="DefaultParagraphFont"/>
    <w:uiPriority w:val="99"/>
    <w:semiHidden/>
    <w:unhideWhenUsed/>
    <w:rsid w:val="007A0417"/>
    <w:rPr>
      <w:color w:val="954F72" w:themeColor="followedHyperlink"/>
      <w:u w:val="single"/>
    </w:rPr>
  </w:style>
  <w:style w:type="paragraph" w:styleId="Footer">
    <w:name w:val="footer"/>
    <w:basedOn w:val="Normal"/>
    <w:link w:val="FooterChar"/>
    <w:uiPriority w:val="99"/>
    <w:unhideWhenUsed/>
    <w:rsid w:val="00B57DC5"/>
    <w:pPr>
      <w:tabs>
        <w:tab w:val="center" w:pos="4680"/>
        <w:tab w:val="right" w:pos="9360"/>
      </w:tabs>
    </w:pPr>
    <w:rPr>
      <w:rFonts w:eastAsiaTheme="minorHAnsi"/>
      <w:b/>
      <w:sz w:val="18"/>
    </w:rPr>
  </w:style>
  <w:style w:type="character" w:customStyle="1" w:styleId="FooterChar">
    <w:name w:val="Footer Char"/>
    <w:basedOn w:val="DefaultParagraphFont"/>
    <w:link w:val="Footer"/>
    <w:uiPriority w:val="99"/>
    <w:rsid w:val="00B57DC5"/>
    <w:rPr>
      <w:rFonts w:ascii="Calibre Regular" w:hAnsi="Calibre Regular"/>
      <w:b/>
      <w:color w:val="4D4D4D"/>
      <w:sz w:val="18"/>
      <w:szCs w:val="24"/>
      <w:lang w:val="en-GB"/>
    </w:rPr>
  </w:style>
  <w:style w:type="character" w:styleId="FootnoteReference">
    <w:name w:val="footnote reference"/>
    <w:rsid w:val="007A0417"/>
    <w:rPr>
      <w:vertAlign w:val="superscript"/>
    </w:rPr>
  </w:style>
  <w:style w:type="paragraph" w:styleId="FootnoteText">
    <w:name w:val="footnote text"/>
    <w:basedOn w:val="Normal"/>
    <w:link w:val="FootnoteTextChar"/>
    <w:unhideWhenUsed/>
    <w:rsid w:val="007A0417"/>
    <w:rPr>
      <w:rFonts w:eastAsia="Times New Roman" w:cs="Times New Roman"/>
      <w:color w:val="auto"/>
      <w:szCs w:val="20"/>
      <w:lang w:bidi="en-US"/>
    </w:rPr>
  </w:style>
  <w:style w:type="character" w:customStyle="1" w:styleId="FootnoteTextChar">
    <w:name w:val="Footnote Text Char"/>
    <w:basedOn w:val="DefaultParagraphFont"/>
    <w:link w:val="FootnoteText"/>
    <w:rsid w:val="007A0417"/>
    <w:rPr>
      <w:rFonts w:ascii="Arial" w:eastAsia="Times New Roman" w:hAnsi="Arial" w:cs="Times New Roman"/>
      <w:sz w:val="20"/>
      <w:szCs w:val="20"/>
      <w:lang w:val="en-GB" w:bidi="en-US"/>
    </w:rPr>
  </w:style>
  <w:style w:type="paragraph" w:customStyle="1" w:styleId="GrayBoxHeadingVertivStylesGrayColumnVariants">
    <w:name w:val="Gray Box Heading (Vertiv Styles:Gray Column Variants)"/>
    <w:basedOn w:val="Normal"/>
    <w:uiPriority w:val="99"/>
    <w:rsid w:val="007A0417"/>
    <w:pPr>
      <w:suppressAutoHyphens/>
      <w:autoSpaceDE w:val="0"/>
      <w:autoSpaceDN w:val="0"/>
      <w:adjustRightInd w:val="0"/>
      <w:spacing w:after="180" w:line="288" w:lineRule="auto"/>
      <w:jc w:val="center"/>
      <w:textAlignment w:val="baseline"/>
    </w:pPr>
    <w:rPr>
      <w:rFonts w:ascii="Calibre-Bold" w:eastAsiaTheme="minorHAnsi" w:hAnsi="Calibre-Bold" w:cs="Calibre-Bold"/>
      <w:b/>
      <w:bCs/>
      <w:caps/>
      <w:color w:val="FFFFFF"/>
      <w:sz w:val="28"/>
      <w:szCs w:val="28"/>
    </w:rPr>
  </w:style>
  <w:style w:type="paragraph" w:customStyle="1" w:styleId="GrayColumnBulletsVertivStylesGrayColumnVariants">
    <w:name w:val="Gray Column Bullets (Vertiv Styles:Gray Column Variants)"/>
    <w:basedOn w:val="Normal"/>
    <w:uiPriority w:val="99"/>
    <w:rsid w:val="00AC7331"/>
    <w:pPr>
      <w:suppressAutoHyphens/>
      <w:autoSpaceDE w:val="0"/>
      <w:autoSpaceDN w:val="0"/>
      <w:adjustRightInd w:val="0"/>
      <w:spacing w:after="180" w:line="288" w:lineRule="auto"/>
      <w:ind w:left="540" w:right="450" w:hanging="302"/>
      <w:textAlignment w:val="baseline"/>
    </w:pPr>
    <w:rPr>
      <w:rFonts w:ascii="Calibre-Light" w:eastAsiaTheme="minorHAnsi" w:hAnsi="Calibre-Light" w:cs="Calibre-Light"/>
      <w:color w:val="3B3C3D"/>
      <w:szCs w:val="20"/>
      <w:lang w:val="en-US"/>
    </w:rPr>
  </w:style>
  <w:style w:type="paragraph" w:customStyle="1" w:styleId="GrayColumnHeadingVertivStylesGrayColumnVariants">
    <w:name w:val="Gray Column Heading (Vertiv Styles:Gray Column Variants)"/>
    <w:basedOn w:val="Normal"/>
    <w:next w:val="GrayColumnBulletsVertivStylesGrayColumnVariants"/>
    <w:uiPriority w:val="99"/>
    <w:rsid w:val="007A0417"/>
    <w:pPr>
      <w:suppressAutoHyphens/>
      <w:autoSpaceDE w:val="0"/>
      <w:autoSpaceDN w:val="0"/>
      <w:adjustRightInd w:val="0"/>
      <w:spacing w:after="180" w:line="288" w:lineRule="auto"/>
      <w:ind w:left="270" w:right="270"/>
      <w:textAlignment w:val="baseline"/>
    </w:pPr>
    <w:rPr>
      <w:rFonts w:ascii="Calibre-Semibold" w:eastAsiaTheme="minorHAnsi" w:hAnsi="Calibre-Semibold" w:cs="Calibre-Semibold"/>
      <w:color w:val="3B3C3D"/>
      <w:szCs w:val="22"/>
    </w:rPr>
  </w:style>
  <w:style w:type="paragraph" w:styleId="Header">
    <w:name w:val="header"/>
    <w:basedOn w:val="Normal"/>
    <w:link w:val="HeaderChar"/>
    <w:uiPriority w:val="99"/>
    <w:unhideWhenUsed/>
    <w:rsid w:val="008E0F75"/>
    <w:pPr>
      <w:tabs>
        <w:tab w:val="center" w:pos="4680"/>
        <w:tab w:val="right" w:pos="9360"/>
      </w:tabs>
      <w:jc w:val="right"/>
    </w:pPr>
    <w:rPr>
      <w:rFonts w:eastAsiaTheme="minorHAnsi"/>
      <w:b/>
      <w:sz w:val="18"/>
    </w:rPr>
  </w:style>
  <w:style w:type="character" w:customStyle="1" w:styleId="HeaderChar">
    <w:name w:val="Header Char"/>
    <w:basedOn w:val="DefaultParagraphFont"/>
    <w:link w:val="Header"/>
    <w:uiPriority w:val="99"/>
    <w:rsid w:val="008E0F75"/>
    <w:rPr>
      <w:rFonts w:ascii="Calibre Regular" w:hAnsi="Calibre Regular"/>
      <w:b/>
      <w:color w:val="0D0D0D" w:themeColor="text1" w:themeTint="F2"/>
      <w:sz w:val="18"/>
      <w:szCs w:val="24"/>
      <w:lang w:val="en-GB"/>
    </w:rPr>
  </w:style>
  <w:style w:type="character" w:customStyle="1" w:styleId="Heading1Char">
    <w:name w:val="Heading 1 Char"/>
    <w:aliases w:val="Chapter Char"/>
    <w:basedOn w:val="DefaultParagraphFont"/>
    <w:link w:val="Heading1"/>
    <w:uiPriority w:val="9"/>
    <w:rsid w:val="00B01D98"/>
    <w:rPr>
      <w:rFonts w:ascii="Calibre Medium" w:eastAsiaTheme="majorEastAsia" w:hAnsi="Calibre Medium" w:cstheme="majorBidi"/>
      <w:bCs/>
      <w:caps/>
      <w:color w:val="0D0D0D" w:themeColor="text1" w:themeTint="F2"/>
      <w:sz w:val="28"/>
      <w:szCs w:val="28"/>
      <w:lang w:val="en-GB"/>
    </w:rPr>
  </w:style>
  <w:style w:type="character" w:customStyle="1" w:styleId="Heading2Char">
    <w:name w:val="Heading 2 Char"/>
    <w:basedOn w:val="DefaultParagraphFont"/>
    <w:link w:val="Heading2"/>
    <w:uiPriority w:val="9"/>
    <w:rsid w:val="00A73C33"/>
    <w:rPr>
      <w:rFonts w:ascii="Calibre Medium" w:eastAsiaTheme="majorEastAsia" w:hAnsi="Calibre Medium" w:cstheme="majorBidi"/>
      <w:color w:val="0D0D0D" w:themeColor="text1" w:themeTint="F2"/>
      <w:sz w:val="24"/>
      <w:szCs w:val="26"/>
      <w:lang w:val="en-GB"/>
    </w:rPr>
  </w:style>
  <w:style w:type="character" w:customStyle="1" w:styleId="Heading3Char">
    <w:name w:val="Heading 3 Char"/>
    <w:basedOn w:val="DefaultParagraphFont"/>
    <w:link w:val="Heading3"/>
    <w:uiPriority w:val="9"/>
    <w:rsid w:val="00A73C33"/>
    <w:rPr>
      <w:rFonts w:ascii="Calibre Medium" w:eastAsiaTheme="majorEastAsia" w:hAnsi="Calibre Medium" w:cstheme="majorBidi"/>
      <w:bCs/>
      <w:color w:val="0D0D0D" w:themeColor="text1" w:themeTint="F2"/>
      <w:szCs w:val="24"/>
      <w:lang w:val="en-GB"/>
    </w:rPr>
  </w:style>
  <w:style w:type="character" w:customStyle="1" w:styleId="Heading4Char">
    <w:name w:val="Heading 4 Char"/>
    <w:basedOn w:val="DefaultParagraphFont"/>
    <w:link w:val="Heading4"/>
    <w:uiPriority w:val="9"/>
    <w:rsid w:val="00A87B07"/>
    <w:rPr>
      <w:rFonts w:ascii="Calibre Regular" w:eastAsiaTheme="majorEastAsia" w:hAnsi="Calibre Regular" w:cstheme="majorBidi"/>
      <w:b/>
      <w:bCs/>
      <w:iCs/>
      <w:szCs w:val="24"/>
      <w:lang w:val="en-GB"/>
    </w:rPr>
  </w:style>
  <w:style w:type="character" w:customStyle="1" w:styleId="Heading5Char">
    <w:name w:val="Heading 5 Char"/>
    <w:aliases w:val="Numbering After Heading 4 Char"/>
    <w:basedOn w:val="DefaultParagraphFont"/>
    <w:link w:val="Heading5"/>
    <w:uiPriority w:val="9"/>
    <w:rsid w:val="00A87B07"/>
    <w:rPr>
      <w:rFonts w:ascii="Calibre Regular" w:eastAsiaTheme="majorEastAsia" w:hAnsi="Calibre Regular" w:cstheme="majorBidi"/>
      <w:b/>
      <w:color w:val="000000" w:themeColor="text1"/>
      <w:szCs w:val="24"/>
      <w:lang w:val="en-GB"/>
    </w:rPr>
  </w:style>
  <w:style w:type="character" w:customStyle="1" w:styleId="Heading6Char">
    <w:name w:val="Heading 6 Char"/>
    <w:basedOn w:val="DefaultParagraphFont"/>
    <w:link w:val="Heading6"/>
    <w:uiPriority w:val="9"/>
    <w:rsid w:val="007A0417"/>
    <w:rPr>
      <w:rFonts w:asciiTheme="majorHAnsi" w:eastAsiaTheme="majorEastAsia" w:hAnsiTheme="majorHAnsi" w:cstheme="majorBidi"/>
      <w:i/>
      <w:iCs/>
      <w:color w:val="1F3763" w:themeColor="accent1" w:themeShade="7F"/>
      <w:sz w:val="20"/>
      <w:szCs w:val="24"/>
      <w:lang w:val="en-GB"/>
    </w:rPr>
  </w:style>
  <w:style w:type="character" w:customStyle="1" w:styleId="Heading7Char">
    <w:name w:val="Heading 7 Char"/>
    <w:basedOn w:val="DefaultParagraphFont"/>
    <w:link w:val="Heading7"/>
    <w:uiPriority w:val="9"/>
    <w:semiHidden/>
    <w:rsid w:val="007A0417"/>
    <w:rPr>
      <w:rFonts w:asciiTheme="majorHAnsi" w:eastAsiaTheme="majorEastAsia" w:hAnsiTheme="majorHAnsi" w:cstheme="majorBidi"/>
      <w:i/>
      <w:iCs/>
      <w:color w:val="404040" w:themeColor="text1" w:themeTint="BF"/>
      <w:sz w:val="20"/>
      <w:szCs w:val="24"/>
      <w:lang w:val="en-GB"/>
    </w:rPr>
  </w:style>
  <w:style w:type="character" w:customStyle="1" w:styleId="Heading8Char">
    <w:name w:val="Heading 8 Char"/>
    <w:basedOn w:val="DefaultParagraphFont"/>
    <w:link w:val="Heading8"/>
    <w:uiPriority w:val="9"/>
    <w:semiHidden/>
    <w:rsid w:val="007A041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A0417"/>
    <w:rPr>
      <w:rFonts w:asciiTheme="majorHAnsi" w:eastAsiaTheme="majorEastAsia" w:hAnsiTheme="majorHAnsi" w:cstheme="majorBidi"/>
      <w:i/>
      <w:iCs/>
      <w:color w:val="404040" w:themeColor="text1" w:themeTint="BF"/>
      <w:sz w:val="20"/>
      <w:szCs w:val="20"/>
      <w:lang w:val="en-GB"/>
    </w:rPr>
  </w:style>
  <w:style w:type="character" w:styleId="Hyperlink">
    <w:name w:val="Hyperlink"/>
    <w:basedOn w:val="DefaultParagraphFont"/>
    <w:uiPriority w:val="99"/>
    <w:unhideWhenUsed/>
    <w:rsid w:val="007A0417"/>
    <w:rPr>
      <w:color w:val="0563C1" w:themeColor="hyperlink"/>
      <w:u w:val="single"/>
    </w:rPr>
  </w:style>
  <w:style w:type="character" w:styleId="IntenseReference">
    <w:name w:val="Intense Reference"/>
    <w:basedOn w:val="DefaultParagraphFont"/>
    <w:uiPriority w:val="32"/>
    <w:rsid w:val="007A0417"/>
    <w:rPr>
      <w:b/>
      <w:bCs/>
      <w:smallCaps/>
      <w:color w:val="ED7D31" w:themeColor="accent2"/>
      <w:spacing w:val="5"/>
      <w:u w:val="single"/>
    </w:rPr>
  </w:style>
  <w:style w:type="character" w:styleId="LineNumber">
    <w:name w:val="line number"/>
    <w:basedOn w:val="DefaultParagraphFont"/>
    <w:uiPriority w:val="99"/>
    <w:semiHidden/>
    <w:unhideWhenUsed/>
    <w:rsid w:val="007A0417"/>
  </w:style>
  <w:style w:type="paragraph" w:styleId="ListParagraph">
    <w:name w:val="List Paragraph"/>
    <w:basedOn w:val="Normal"/>
    <w:uiPriority w:val="34"/>
    <w:qFormat/>
    <w:rsid w:val="007A0417"/>
    <w:pPr>
      <w:ind w:left="720"/>
      <w:contextualSpacing/>
    </w:pPr>
  </w:style>
  <w:style w:type="character" w:styleId="Mention">
    <w:name w:val="Mention"/>
    <w:basedOn w:val="DefaultParagraphFont"/>
    <w:uiPriority w:val="99"/>
    <w:unhideWhenUsed/>
    <w:rsid w:val="007A0417"/>
    <w:rPr>
      <w:color w:val="2B579A"/>
      <w:shd w:val="clear" w:color="auto" w:fill="E1DFDD"/>
    </w:rPr>
  </w:style>
  <w:style w:type="paragraph" w:styleId="Quote">
    <w:name w:val="Quote"/>
    <w:aliases w:val="Slike/Tablice"/>
    <w:basedOn w:val="Normal"/>
    <w:next w:val="Caption"/>
    <w:link w:val="QuoteChar"/>
    <w:uiPriority w:val="29"/>
    <w:rsid w:val="007A0417"/>
    <w:pPr>
      <w:jc w:val="center"/>
    </w:pPr>
    <w:rPr>
      <w:i/>
      <w:iCs/>
    </w:rPr>
  </w:style>
  <w:style w:type="character" w:customStyle="1" w:styleId="QuoteChar">
    <w:name w:val="Quote Char"/>
    <w:aliases w:val="Slike/Tablice Char"/>
    <w:basedOn w:val="DefaultParagraphFont"/>
    <w:link w:val="Quote"/>
    <w:uiPriority w:val="29"/>
    <w:rsid w:val="007A0417"/>
    <w:rPr>
      <w:rFonts w:ascii="Arial" w:eastAsiaTheme="minorEastAsia" w:hAnsi="Arial"/>
      <w:i/>
      <w:iCs/>
      <w:color w:val="4D4D4D"/>
      <w:sz w:val="20"/>
      <w:szCs w:val="24"/>
      <w:lang w:val="en-GB"/>
    </w:rPr>
  </w:style>
  <w:style w:type="paragraph" w:customStyle="1" w:styleId="ListNumberedAlpha">
    <w:name w:val="ListNumberedAlpha"/>
    <w:basedOn w:val="ListNumbered"/>
    <w:rsid w:val="004B7723"/>
    <w:pPr>
      <w:numPr>
        <w:numId w:val="22"/>
      </w:numPr>
    </w:pPr>
  </w:style>
  <w:style w:type="character" w:styleId="Strong">
    <w:name w:val="Strong"/>
    <w:basedOn w:val="DefaultParagraphFont"/>
    <w:uiPriority w:val="22"/>
    <w:qFormat/>
    <w:rsid w:val="007A0417"/>
    <w:rPr>
      <w:b/>
      <w:bCs/>
    </w:rPr>
  </w:style>
  <w:style w:type="paragraph" w:customStyle="1" w:styleId="ListBullet1">
    <w:name w:val="List Bullet1"/>
    <w:basedOn w:val="ListNumbered"/>
    <w:rsid w:val="00B64DA5"/>
    <w:pPr>
      <w:keepNext w:val="0"/>
      <w:keepLines w:val="0"/>
      <w:numPr>
        <w:numId w:val="23"/>
      </w:numPr>
      <w:ind w:left="1267"/>
    </w:pPr>
  </w:style>
  <w:style w:type="character" w:styleId="SubtleReference">
    <w:name w:val="Subtle Reference"/>
    <w:basedOn w:val="DefaultParagraphFont"/>
    <w:uiPriority w:val="31"/>
    <w:rsid w:val="007A0417"/>
    <w:rPr>
      <w:smallCaps/>
      <w:color w:val="ED7D31" w:themeColor="accent2"/>
      <w:u w:val="single"/>
    </w:rPr>
  </w:style>
  <w:style w:type="table" w:styleId="TableGrid">
    <w:name w:val="Table Grid"/>
    <w:basedOn w:val="TableNormal"/>
    <w:uiPriority w:val="39"/>
    <w:rsid w:val="007A041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A0417"/>
    <w:pPr>
      <w:spacing w:after="0" w:line="240" w:lineRule="auto"/>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A0417"/>
  </w:style>
  <w:style w:type="paragraph" w:customStyle="1" w:styleId="Tablestyle">
    <w:name w:val="Table style"/>
    <w:basedOn w:val="Normal"/>
    <w:link w:val="TablestyleChar"/>
    <w:qFormat/>
    <w:rsid w:val="007A0417"/>
    <w:rPr>
      <w:rFonts w:cs="Times New Roman"/>
      <w:szCs w:val="20"/>
      <w:lang w:eastAsia="en-GB"/>
    </w:rPr>
  </w:style>
  <w:style w:type="character" w:customStyle="1" w:styleId="TablestyleChar">
    <w:name w:val="Table style Char"/>
    <w:basedOn w:val="DefaultParagraphFont"/>
    <w:link w:val="Tablestyle"/>
    <w:rsid w:val="007A0417"/>
    <w:rPr>
      <w:rFonts w:ascii="Arial" w:eastAsiaTheme="minorEastAsia" w:hAnsi="Arial" w:cs="Times New Roman"/>
      <w:color w:val="4D4D4D"/>
      <w:sz w:val="20"/>
      <w:szCs w:val="20"/>
      <w:lang w:val="en-GB" w:eastAsia="en-GB"/>
    </w:rPr>
  </w:style>
  <w:style w:type="paragraph" w:styleId="Title">
    <w:name w:val="Title"/>
    <w:basedOn w:val="Normal"/>
    <w:next w:val="Normal"/>
    <w:link w:val="TitleChar"/>
    <w:uiPriority w:val="10"/>
    <w:qFormat/>
    <w:rsid w:val="00123AF5"/>
    <w:pPr>
      <w:keepNext/>
      <w:suppressAutoHyphens/>
      <w:contextualSpacing/>
      <w:jc w:val="center"/>
    </w:pPr>
    <w:rPr>
      <w:rFonts w:ascii="Calibre Medium" w:eastAsiaTheme="majorEastAsia" w:hAnsi="Calibre Medium" w:cstheme="majorBidi"/>
      <w:spacing w:val="5"/>
      <w:kern w:val="28"/>
      <w:sz w:val="28"/>
      <w:szCs w:val="52"/>
    </w:rPr>
  </w:style>
  <w:style w:type="character" w:customStyle="1" w:styleId="TitleChar">
    <w:name w:val="Title Char"/>
    <w:basedOn w:val="DefaultParagraphFont"/>
    <w:link w:val="Title"/>
    <w:uiPriority w:val="10"/>
    <w:rsid w:val="00123AF5"/>
    <w:rPr>
      <w:rFonts w:ascii="Calibre Medium" w:eastAsiaTheme="majorEastAsia" w:hAnsi="Calibre Medium" w:cstheme="majorBidi"/>
      <w:color w:val="0D0D0D" w:themeColor="text1" w:themeTint="F2"/>
      <w:spacing w:val="5"/>
      <w:kern w:val="28"/>
      <w:sz w:val="28"/>
      <w:szCs w:val="52"/>
      <w:lang w:val="en-GB"/>
    </w:rPr>
  </w:style>
  <w:style w:type="paragraph" w:styleId="TOC1">
    <w:name w:val="toc 1"/>
    <w:basedOn w:val="Normal"/>
    <w:next w:val="Normal"/>
    <w:autoRedefine/>
    <w:uiPriority w:val="39"/>
    <w:unhideWhenUsed/>
    <w:rsid w:val="007A0417"/>
    <w:pPr>
      <w:tabs>
        <w:tab w:val="left" w:pos="440"/>
        <w:tab w:val="left" w:pos="1100"/>
        <w:tab w:val="right" w:leader="dot" w:pos="10460"/>
      </w:tabs>
      <w:spacing w:after="100" w:line="276" w:lineRule="auto"/>
    </w:pPr>
    <w:rPr>
      <w:rFonts w:ascii="Microsoft Sans Serif" w:eastAsiaTheme="minorHAnsi" w:hAnsi="Microsoft Sans Serif" w:cs="Microsoft Sans Serif"/>
      <w:noProof/>
      <w:szCs w:val="22"/>
    </w:rPr>
  </w:style>
  <w:style w:type="paragraph" w:styleId="TOC2">
    <w:name w:val="toc 2"/>
    <w:basedOn w:val="Normal"/>
    <w:next w:val="Normal"/>
    <w:autoRedefine/>
    <w:uiPriority w:val="39"/>
    <w:unhideWhenUsed/>
    <w:rsid w:val="007A0417"/>
    <w:pPr>
      <w:spacing w:after="100" w:line="276" w:lineRule="auto"/>
      <w:ind w:left="220"/>
    </w:pPr>
    <w:rPr>
      <w:rFonts w:eastAsiaTheme="minorHAnsi"/>
      <w:szCs w:val="22"/>
      <w:lang w:val="hr-HR"/>
    </w:rPr>
  </w:style>
  <w:style w:type="paragraph" w:styleId="TOC3">
    <w:name w:val="toc 3"/>
    <w:basedOn w:val="Normal"/>
    <w:next w:val="Normal"/>
    <w:autoRedefine/>
    <w:uiPriority w:val="39"/>
    <w:unhideWhenUsed/>
    <w:rsid w:val="007A0417"/>
    <w:pPr>
      <w:spacing w:after="100" w:line="259" w:lineRule="auto"/>
      <w:ind w:left="440"/>
    </w:pPr>
    <w:rPr>
      <w:rFonts w:cs="Times New Roman"/>
      <w:szCs w:val="22"/>
    </w:rPr>
  </w:style>
  <w:style w:type="paragraph" w:styleId="TOCHeading">
    <w:name w:val="TOC Heading"/>
    <w:basedOn w:val="Heading1"/>
    <w:next w:val="Normal"/>
    <w:uiPriority w:val="39"/>
    <w:unhideWhenUsed/>
    <w:rsid w:val="007A0417"/>
    <w:pPr>
      <w:spacing w:before="240" w:line="259" w:lineRule="auto"/>
      <w:outlineLvl w:val="9"/>
    </w:pPr>
    <w:rPr>
      <w:b/>
      <w:bCs w:val="0"/>
      <w:sz w:val="32"/>
      <w:szCs w:val="32"/>
    </w:rPr>
  </w:style>
  <w:style w:type="character" w:styleId="UnresolvedMention">
    <w:name w:val="Unresolved Mention"/>
    <w:basedOn w:val="DefaultParagraphFont"/>
    <w:uiPriority w:val="99"/>
    <w:unhideWhenUsed/>
    <w:rsid w:val="007A0417"/>
    <w:rPr>
      <w:color w:val="605E5C"/>
      <w:shd w:val="clear" w:color="auto" w:fill="E1DFDD"/>
    </w:rPr>
  </w:style>
  <w:style w:type="paragraph" w:customStyle="1" w:styleId="VertivCaptionVertivStyles">
    <w:name w:val="Vertiv Caption (Vertiv Styles)"/>
    <w:basedOn w:val="Normal"/>
    <w:uiPriority w:val="99"/>
    <w:rsid w:val="007A0417"/>
    <w:pPr>
      <w:suppressAutoHyphens/>
      <w:autoSpaceDE w:val="0"/>
      <w:autoSpaceDN w:val="0"/>
      <w:adjustRightInd w:val="0"/>
      <w:spacing w:line="288" w:lineRule="auto"/>
      <w:jc w:val="right"/>
      <w:textAlignment w:val="baseline"/>
    </w:pPr>
    <w:rPr>
      <w:rFonts w:ascii="Calibre-LightItalic" w:eastAsiaTheme="minorHAnsi" w:hAnsi="Calibre-LightItalic" w:cs="Calibre-LightItalic"/>
      <w:i/>
      <w:iCs/>
      <w:color w:val="3B3C3D"/>
      <w:sz w:val="18"/>
      <w:szCs w:val="18"/>
    </w:rPr>
  </w:style>
  <w:style w:type="paragraph" w:customStyle="1" w:styleId="ListBullet2">
    <w:name w:val="List Bullet2"/>
    <w:basedOn w:val="ListBullet1"/>
    <w:rsid w:val="00B64DA5"/>
    <w:pPr>
      <w:numPr>
        <w:ilvl w:val="1"/>
      </w:numPr>
      <w:spacing w:after="0"/>
      <w:ind w:left="1800"/>
    </w:pPr>
  </w:style>
  <w:style w:type="paragraph" w:customStyle="1" w:styleId="Note">
    <w:name w:val="Note"/>
    <w:rsid w:val="00CD73B7"/>
    <w:pPr>
      <w:spacing w:after="120" w:line="240" w:lineRule="auto"/>
      <w:ind w:left="924" w:hanging="357"/>
    </w:pPr>
    <w:rPr>
      <w:rFonts w:ascii="Calibre Regular" w:eastAsiaTheme="minorEastAsia" w:hAnsi="Calibre Regular"/>
      <w:b/>
      <w:color w:val="0D0D0D" w:themeColor="text1" w:themeTint="F2"/>
      <w:szCs w:val="24"/>
      <w:lang w:val="en-US"/>
    </w:rPr>
  </w:style>
  <w:style w:type="paragraph" w:customStyle="1" w:styleId="FigureCaption">
    <w:name w:val="FigureCaption"/>
    <w:basedOn w:val="Note"/>
    <w:rsid w:val="00CD73B7"/>
    <w:pPr>
      <w:numPr>
        <w:numId w:val="25"/>
      </w:numPr>
    </w:pPr>
    <w:rPr>
      <w:b w:val="0"/>
      <w:sz w:val="18"/>
    </w:rPr>
  </w:style>
  <w:style w:type="paragraph" w:customStyle="1" w:styleId="ListBullet1Indent">
    <w:name w:val="List Bullet1 Indent"/>
    <w:basedOn w:val="ListBullet1"/>
    <w:rsid w:val="00B64DA5"/>
    <w:pPr>
      <w:numPr>
        <w:numId w:val="0"/>
      </w:numPr>
      <w:ind w:left="922"/>
    </w:pPr>
  </w:style>
  <w:style w:type="paragraph" w:styleId="NoSpacing">
    <w:name w:val="No Spacing"/>
    <w:uiPriority w:val="1"/>
    <w:qFormat/>
    <w:rsid w:val="00707A89"/>
    <w:pPr>
      <w:spacing w:after="0" w:line="240" w:lineRule="auto"/>
      <w:ind w:left="567"/>
      <w:jc w:val="both"/>
    </w:pPr>
    <w:rPr>
      <w:rFonts w:ascii="Calibre Regular" w:eastAsiaTheme="minorEastAsia" w:hAnsi="Calibre Regular"/>
      <w:color w:val="0D0D0D" w:themeColor="text1" w:themeTint="F2"/>
      <w:szCs w:val="24"/>
      <w:lang w:val="en-GB"/>
    </w:rPr>
  </w:style>
  <w:style w:type="paragraph" w:styleId="ListBullet">
    <w:name w:val="List Bullet"/>
    <w:basedOn w:val="Normal"/>
    <w:uiPriority w:val="99"/>
    <w:semiHidden/>
    <w:unhideWhenUsed/>
    <w:rsid w:val="001C5AC7"/>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FH\Project\Guide%20Spec%20Rebranding\Other%20Document\Guide%20Spec%20Template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192D-DE30-4B73-B17F-258482DF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Template_V2.dotx</Template>
  <TotalTime>56</TotalTime>
  <Pages>10</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Dusane, Tanmay</dc:creator>
  <cp:keywords/>
  <dc:description/>
  <cp:lastModifiedBy>Mcmanus, Donna</cp:lastModifiedBy>
  <cp:revision>12</cp:revision>
  <dcterms:created xsi:type="dcterms:W3CDTF">2022-02-15T20:30:00Z</dcterms:created>
  <dcterms:modified xsi:type="dcterms:W3CDTF">2022-02-16T21:32:00Z</dcterms:modified>
</cp:coreProperties>
</file>